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4BED21B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83015">
            <w:rPr>
              <w:rStyle w:val="Style1"/>
            </w:rPr>
            <w:t>Medication Reconciliation on Admission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2B8E89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1-01T00:00:00Z">
            <w:dateFormat w:val="M/d/yyyy"/>
            <w:lid w:val="en-US"/>
            <w:storeMappedDataAs w:val="dateTime"/>
            <w:calendar w:val="gregorian"/>
          </w:date>
        </w:sdtPr>
        <w:sdtEndPr>
          <w:rPr>
            <w:rStyle w:val="DefaultParagraphFont"/>
            <w:noProof/>
            <w:color w:val="auto"/>
            <w:u w:val="none"/>
          </w:rPr>
        </w:sdtEndPr>
        <w:sdtContent>
          <w:r w:rsidR="00183015">
            <w:rPr>
              <w:rStyle w:val="Style2"/>
            </w:rPr>
            <w:t>11/1/2017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A04AD0"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A04AD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A04AD0"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1AD2E8D" w:rsidR="00D73685" w:rsidRDefault="00A04AD0"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06418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064188">
            <w:rPr>
              <w:rStyle w:val="Style2"/>
              <w:rFonts w:cstheme="minorHAnsi"/>
            </w:rPr>
            <w:t>Medication Reconciliation on Admission</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A04AD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A04AD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2610329" w14:textId="10F6B753" w:rsidR="00064188" w:rsidRPr="004C2C8B" w:rsidRDefault="00064188" w:rsidP="00064188">
      <w:pPr>
        <w:pStyle w:val="NormalWeb"/>
        <w:spacing w:before="0" w:beforeAutospacing="0" w:after="0" w:afterAutospacing="0"/>
        <w:ind w:left="432"/>
        <w:rPr>
          <w:rFonts w:asciiTheme="minorHAnsi" w:eastAsiaTheme="minorEastAsia" w:hAnsiTheme="minorHAnsi" w:cstheme="minorBidi"/>
          <w:color w:val="0000FF"/>
          <w:sz w:val="22"/>
          <w:szCs w:val="22"/>
        </w:rPr>
      </w:pPr>
      <w:r w:rsidRPr="1719BFFE">
        <w:rPr>
          <w:rFonts w:asciiTheme="minorHAnsi" w:eastAsiaTheme="minorEastAsia" w:hAnsiTheme="minorHAnsi" w:cstheme="minorBidi"/>
          <w:color w:val="0000FF"/>
          <w:sz w:val="22"/>
          <w:szCs w:val="22"/>
        </w:rPr>
        <w:t xml:space="preserve">The logic model establishing the process-outcome link for this measure concept is listed below. The process steps corresponding to </w:t>
      </w:r>
      <w:r w:rsidR="00D753EE">
        <w:rPr>
          <w:rFonts w:asciiTheme="minorHAnsi" w:eastAsiaTheme="minorEastAsia" w:hAnsiTheme="minorHAnsi" w:cstheme="minorBidi"/>
          <w:color w:val="0000FF"/>
          <w:sz w:val="22"/>
          <w:szCs w:val="22"/>
        </w:rPr>
        <w:t xml:space="preserve">the </w:t>
      </w:r>
      <w:r w:rsidRPr="1719BFFE">
        <w:rPr>
          <w:rFonts w:asciiTheme="minorHAnsi" w:eastAsiaTheme="minorEastAsia" w:hAnsiTheme="minorHAnsi" w:cstheme="minorBidi"/>
          <w:color w:val="0000FF"/>
          <w:sz w:val="22"/>
          <w:szCs w:val="22"/>
        </w:rPr>
        <w:t>measure concept are shown in bold. Literature supporting this logic model is provided in Section 4b.</w:t>
      </w:r>
    </w:p>
    <w:p w14:paraId="4EC2FE48" w14:textId="77777777" w:rsidR="00064188" w:rsidRPr="004C2C8B" w:rsidRDefault="00064188" w:rsidP="00064188">
      <w:pPr>
        <w:pStyle w:val="NormalWeb"/>
        <w:spacing w:before="0" w:beforeAutospacing="0" w:after="0" w:afterAutospacing="0"/>
        <w:ind w:left="630"/>
        <w:rPr>
          <w:rFonts w:asciiTheme="minorHAnsi" w:hAnsiTheme="minorHAnsi"/>
          <w:color w:val="0000FF"/>
          <w:sz w:val="22"/>
          <w:szCs w:val="22"/>
        </w:rPr>
      </w:pPr>
    </w:p>
    <w:p w14:paraId="29A1E773" w14:textId="52693DF7" w:rsidR="00064188" w:rsidRPr="00D753EE" w:rsidRDefault="00064188" w:rsidP="000061D5">
      <w:pPr>
        <w:ind w:left="432" w:firstLine="0"/>
        <w:rPr>
          <w:rFonts w:eastAsiaTheme="minorEastAsia"/>
          <w:bCs/>
          <w:color w:val="0000FF"/>
        </w:rPr>
      </w:pPr>
      <w:r w:rsidRPr="00D753EE">
        <w:rPr>
          <w:color w:val="0000FF"/>
        </w:rPr>
        <w:t xml:space="preserve">Patient is admitted for inpatient care </w:t>
      </w:r>
      <w:r w:rsidRPr="00D753EE">
        <w:rPr>
          <w:color w:val="0000FF"/>
        </w:rPr>
        <w:sym w:font="Wingdings" w:char="F0E0"/>
      </w:r>
      <w:r w:rsidRPr="00D753EE">
        <w:rPr>
          <w:color w:val="0000FF"/>
        </w:rPr>
        <w:t xml:space="preserve"> </w:t>
      </w:r>
      <w:r w:rsidRPr="00D753EE">
        <w:rPr>
          <w:b/>
          <w:bCs/>
          <w:color w:val="0000FF"/>
        </w:rPr>
        <w:t xml:space="preserve">Care team </w:t>
      </w:r>
      <w:r w:rsidR="000061D5" w:rsidRPr="00D753EE">
        <w:rPr>
          <w:rFonts w:eastAsiaTheme="minorEastAsia"/>
          <w:b/>
          <w:bCs/>
          <w:color w:val="0000FF"/>
        </w:rPr>
        <w:t xml:space="preserve">documents on a </w:t>
      </w:r>
      <w:r w:rsidR="00D753EE" w:rsidRPr="00D753EE">
        <w:rPr>
          <w:rFonts w:eastAsiaTheme="minorEastAsia"/>
          <w:b/>
          <w:bCs/>
          <w:color w:val="0000FF"/>
        </w:rPr>
        <w:t>d</w:t>
      </w:r>
      <w:r w:rsidR="000061D5" w:rsidRPr="00D753EE">
        <w:rPr>
          <w:rFonts w:eastAsiaTheme="minorEastAsia"/>
          <w:b/>
          <w:bCs/>
          <w:color w:val="0000FF"/>
        </w:rPr>
        <w:t xml:space="preserve">esignated PTA </w:t>
      </w:r>
      <w:r w:rsidR="00844C14" w:rsidRPr="00D753EE">
        <w:rPr>
          <w:rFonts w:eastAsiaTheme="minorEastAsia"/>
          <w:b/>
          <w:bCs/>
          <w:color w:val="0000FF"/>
        </w:rPr>
        <w:t>M</w:t>
      </w:r>
      <w:r w:rsidR="000061D5" w:rsidRPr="00D753EE">
        <w:rPr>
          <w:rFonts w:eastAsiaTheme="minorEastAsia"/>
          <w:b/>
          <w:bCs/>
          <w:color w:val="0000FF"/>
        </w:rPr>
        <w:t xml:space="preserve">edication </w:t>
      </w:r>
      <w:r w:rsidR="00844C14" w:rsidRPr="00D753EE">
        <w:rPr>
          <w:rFonts w:eastAsiaTheme="minorEastAsia"/>
          <w:b/>
          <w:bCs/>
          <w:color w:val="0000FF"/>
        </w:rPr>
        <w:t>L</w:t>
      </w:r>
      <w:r w:rsidR="000061D5" w:rsidRPr="00D753EE">
        <w:rPr>
          <w:rFonts w:eastAsiaTheme="minorEastAsia"/>
          <w:b/>
          <w:bCs/>
          <w:color w:val="0000FF"/>
        </w:rPr>
        <w:t xml:space="preserve">ist all medications taken by the patient prior to admission </w:t>
      </w:r>
      <w:r w:rsidR="000061D5" w:rsidRPr="00D753EE">
        <w:rPr>
          <w:rFonts w:eastAsiaTheme="minorEastAsia"/>
          <w:b/>
          <w:bCs/>
          <w:color w:val="0000FF"/>
        </w:rPr>
        <w:sym w:font="Wingdings" w:char="F0E0"/>
      </w:r>
      <w:r w:rsidR="000061D5" w:rsidRPr="00D753EE">
        <w:rPr>
          <w:rFonts w:eastAsiaTheme="minorEastAsia"/>
          <w:b/>
          <w:bCs/>
          <w:color w:val="0000FF"/>
        </w:rPr>
        <w:t xml:space="preserve"> The PTA medication list </w:t>
      </w:r>
      <w:r w:rsidR="005C2CFB">
        <w:rPr>
          <w:rFonts w:eastAsiaTheme="minorEastAsia"/>
          <w:b/>
          <w:bCs/>
          <w:color w:val="0000FF"/>
        </w:rPr>
        <w:t xml:space="preserve">is </w:t>
      </w:r>
      <w:r w:rsidR="000061D5" w:rsidRPr="00D753EE">
        <w:rPr>
          <w:rFonts w:eastAsiaTheme="minorEastAsia"/>
          <w:b/>
          <w:bCs/>
          <w:color w:val="0000FF"/>
        </w:rPr>
        <w:t xml:space="preserve">generated using at least one </w:t>
      </w:r>
      <w:r w:rsidR="00D753EE">
        <w:rPr>
          <w:rFonts w:eastAsiaTheme="minorEastAsia"/>
          <w:b/>
          <w:bCs/>
          <w:color w:val="0000FF"/>
        </w:rPr>
        <w:t>so</w:t>
      </w:r>
      <w:r w:rsidR="000061D5" w:rsidRPr="00D753EE">
        <w:rPr>
          <w:rFonts w:eastAsiaTheme="minorEastAsia"/>
          <w:b/>
          <w:bCs/>
          <w:color w:val="0000FF"/>
        </w:rPr>
        <w:t xml:space="preserve">urce </w:t>
      </w:r>
      <w:r w:rsidR="00D753EE">
        <w:rPr>
          <w:rFonts w:eastAsiaTheme="minorEastAsia"/>
          <w:b/>
          <w:bCs/>
          <w:color w:val="0000FF"/>
        </w:rPr>
        <w:t xml:space="preserve">external </w:t>
      </w:r>
      <w:r w:rsidR="000061D5" w:rsidRPr="00D753EE">
        <w:rPr>
          <w:rFonts w:eastAsiaTheme="minorEastAsia"/>
          <w:b/>
          <w:bCs/>
          <w:color w:val="0000FF"/>
        </w:rPr>
        <w:t xml:space="preserve">to </w:t>
      </w:r>
      <w:r w:rsidR="00D753EE">
        <w:rPr>
          <w:rFonts w:eastAsiaTheme="minorEastAsia"/>
          <w:b/>
          <w:bCs/>
          <w:color w:val="0000FF"/>
        </w:rPr>
        <w:t>the facility</w:t>
      </w:r>
      <w:r w:rsidR="005C2CFB">
        <w:rPr>
          <w:rFonts w:eastAsiaTheme="minorEastAsia"/>
          <w:b/>
          <w:bCs/>
          <w:color w:val="0000FF"/>
        </w:rPr>
        <w:t>’s records</w:t>
      </w:r>
      <w:r w:rsidR="00D753EE">
        <w:rPr>
          <w:rFonts w:eastAsiaTheme="minorEastAsia"/>
          <w:b/>
          <w:bCs/>
          <w:color w:val="0000FF"/>
        </w:rPr>
        <w:t xml:space="preserve"> to </w:t>
      </w:r>
      <w:r w:rsidR="000061D5" w:rsidRPr="00D753EE">
        <w:rPr>
          <w:rFonts w:eastAsiaTheme="minorEastAsia"/>
          <w:b/>
          <w:bCs/>
          <w:color w:val="0000FF"/>
        </w:rPr>
        <w:t xml:space="preserve">identify the medications taken by the patient prior to admission </w:t>
      </w:r>
      <w:r w:rsidR="000061D5" w:rsidRPr="00D753EE">
        <w:rPr>
          <w:rFonts w:eastAsiaTheme="minorEastAsia"/>
          <w:b/>
          <w:bCs/>
          <w:color w:val="0000FF"/>
        </w:rPr>
        <w:sym w:font="Wingdings" w:char="F0E0"/>
      </w:r>
      <w:r w:rsidR="000061D5" w:rsidRPr="00D753EE">
        <w:rPr>
          <w:rFonts w:eastAsiaTheme="minorEastAsia"/>
          <w:b/>
          <w:bCs/>
          <w:color w:val="0000FF"/>
        </w:rPr>
        <w:t xml:space="preserve"> </w:t>
      </w:r>
      <w:r w:rsidR="00844C14" w:rsidRPr="00D753EE">
        <w:rPr>
          <w:rFonts w:eastAsiaTheme="minorEastAsia"/>
          <w:b/>
          <w:bCs/>
          <w:color w:val="0000FF"/>
        </w:rPr>
        <w:t>L</w:t>
      </w:r>
      <w:r w:rsidR="000061D5" w:rsidRPr="00D753EE">
        <w:rPr>
          <w:rFonts w:eastAsiaTheme="minorEastAsia"/>
          <w:b/>
          <w:bCs/>
          <w:color w:val="0000FF"/>
        </w:rPr>
        <w:t xml:space="preserve">icensed prescriber </w:t>
      </w:r>
      <w:r w:rsidR="00D753EE" w:rsidRPr="00D753EE">
        <w:rPr>
          <w:rFonts w:eastAsiaTheme="minorEastAsia"/>
          <w:b/>
          <w:bCs/>
          <w:color w:val="0000FF"/>
        </w:rPr>
        <w:t xml:space="preserve">documents a </w:t>
      </w:r>
      <w:r w:rsidR="00D753EE">
        <w:rPr>
          <w:rFonts w:eastAsiaTheme="minorEastAsia"/>
          <w:b/>
          <w:bCs/>
          <w:color w:val="0000FF"/>
        </w:rPr>
        <w:t>r</w:t>
      </w:r>
      <w:r w:rsidR="00D753EE" w:rsidRPr="00D753EE">
        <w:rPr>
          <w:rFonts w:eastAsiaTheme="minorEastAsia"/>
          <w:b/>
          <w:bCs/>
          <w:color w:val="0000FF"/>
        </w:rPr>
        <w:t xml:space="preserve">econciliation </w:t>
      </w:r>
      <w:r w:rsidR="00D753EE">
        <w:rPr>
          <w:rFonts w:eastAsiaTheme="minorEastAsia"/>
          <w:b/>
          <w:bCs/>
          <w:color w:val="0000FF"/>
        </w:rPr>
        <w:t>a</w:t>
      </w:r>
      <w:r w:rsidR="00D753EE" w:rsidRPr="00D753EE">
        <w:rPr>
          <w:rFonts w:eastAsiaTheme="minorEastAsia"/>
          <w:b/>
          <w:bCs/>
          <w:color w:val="0000FF"/>
        </w:rPr>
        <w:t xml:space="preserve">ction </w:t>
      </w:r>
      <w:r w:rsidR="005C2CFB">
        <w:rPr>
          <w:rFonts w:eastAsiaTheme="minorEastAsia"/>
          <w:b/>
          <w:bCs/>
          <w:color w:val="0000FF"/>
        </w:rPr>
        <w:t>to continue, discontinue, or modify each</w:t>
      </w:r>
      <w:r w:rsidR="000061D5" w:rsidRPr="00D753EE">
        <w:rPr>
          <w:rFonts w:eastAsiaTheme="minorEastAsia"/>
          <w:b/>
          <w:bCs/>
          <w:color w:val="0000FF"/>
        </w:rPr>
        <w:t xml:space="preserve"> medication listed on the PTA Medication List by the end of Day 2 of the hospitalization, or if there are no medications on the PTA medication list, the prescriber sign</w:t>
      </w:r>
      <w:r w:rsidR="005C2CFB">
        <w:rPr>
          <w:rFonts w:eastAsiaTheme="minorEastAsia"/>
          <w:b/>
          <w:bCs/>
          <w:color w:val="0000FF"/>
        </w:rPr>
        <w:t>s</w:t>
      </w:r>
      <w:r w:rsidR="000061D5" w:rsidRPr="00D753EE">
        <w:rPr>
          <w:rFonts w:eastAsiaTheme="minorEastAsia"/>
          <w:b/>
          <w:bCs/>
          <w:color w:val="0000FF"/>
        </w:rPr>
        <w:t xml:space="preserve"> the document by the end of Day 2 of the hospitalization to indicate his/her review of the PTA medication list</w:t>
      </w:r>
      <w:r w:rsidR="000061D5" w:rsidRPr="00D753EE">
        <w:rPr>
          <w:rFonts w:eastAsiaTheme="minorEastAsia" w:cstheme="minorHAnsi"/>
          <w:bCs/>
          <w:color w:val="0000FF"/>
        </w:rPr>
        <w:t xml:space="preserve"> </w:t>
      </w:r>
      <w:r w:rsidRPr="00D753EE">
        <w:rPr>
          <w:rFonts w:cstheme="minorHAnsi"/>
          <w:color w:val="0000FF"/>
        </w:rPr>
        <w:sym w:font="Wingdings" w:char="F0E0"/>
      </w:r>
      <w:r w:rsidRPr="00D753EE">
        <w:rPr>
          <w:rFonts w:eastAsiaTheme="minorEastAsia"/>
          <w:color w:val="0000FF"/>
        </w:rPr>
        <w:t xml:space="preserve"> Medication errors during the inpatient stay </w:t>
      </w:r>
      <w:r w:rsidR="005C2CFB">
        <w:rPr>
          <w:rFonts w:eastAsiaTheme="minorEastAsia"/>
          <w:color w:val="0000FF"/>
        </w:rPr>
        <w:t xml:space="preserve">and at discharge </w:t>
      </w:r>
      <w:r w:rsidRPr="00D753EE">
        <w:rPr>
          <w:rFonts w:eastAsiaTheme="minorEastAsia"/>
          <w:color w:val="0000FF"/>
        </w:rPr>
        <w:t xml:space="preserve">are reduced </w:t>
      </w:r>
      <w:r w:rsidRPr="00D753EE">
        <w:rPr>
          <w:rFonts w:cstheme="minorHAnsi"/>
          <w:color w:val="0000FF"/>
        </w:rPr>
        <w:sym w:font="Wingdings" w:char="F0E0"/>
      </w:r>
      <w:r w:rsidRPr="00D753EE">
        <w:rPr>
          <w:rFonts w:eastAsiaTheme="minorEastAsia"/>
          <w:color w:val="0000FF"/>
        </w:rPr>
        <w:t xml:space="preserve"> Adverse drug events are prevented</w:t>
      </w:r>
    </w:p>
    <w:p w14:paraId="55B8DA5B" w14:textId="3E996238" w:rsidR="002B06BD" w:rsidRPr="003B1CC5" w:rsidRDefault="002B06BD" w:rsidP="00064188">
      <w:pPr>
        <w:ind w:left="0" w:firstLine="0"/>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1FB18C41" w:rsidR="004922E4" w:rsidRDefault="005C2CFB" w:rsidP="009F437B">
      <w:pPr>
        <w:ind w:left="432" w:hanging="72"/>
        <w:rPr>
          <w:b/>
          <w:color w:val="0000FF"/>
        </w:rPr>
      </w:pPr>
      <w:r>
        <w:rPr>
          <w:color w:val="0000FF"/>
        </w:rPr>
        <w:t xml:space="preserve">This measure is not derived from patient </w:t>
      </w:r>
      <w:r w:rsidR="006311D3">
        <w:rPr>
          <w:color w:val="0000FF"/>
        </w:rPr>
        <w:t>report</w:t>
      </w:r>
      <w:r w:rsidR="00CB58FC">
        <w:rPr>
          <w:color w:val="0000FF"/>
        </w:rPr>
        <w:t>.</w:t>
      </w:r>
      <w:r>
        <w:rPr>
          <w:color w:val="0000FF"/>
        </w:rPr>
        <w:t xml:space="preserve"> </w:t>
      </w:r>
      <w:r w:rsidR="00CB58FC">
        <w:rPr>
          <w:color w:val="0000FF"/>
        </w:rPr>
        <w:t>H</w:t>
      </w:r>
      <w:r w:rsidR="006311D3">
        <w:rPr>
          <w:color w:val="0000FF"/>
        </w:rPr>
        <w:t>owever,</w:t>
      </w:r>
      <w:r>
        <w:rPr>
          <w:color w:val="0000FF"/>
        </w:rPr>
        <w:t xml:space="preserve"> patients may be a source of PTA medications.</w:t>
      </w:r>
    </w:p>
    <w:p w14:paraId="55B8DA5D" w14:textId="77777777" w:rsidR="00676BD4" w:rsidRDefault="00676BD4" w:rsidP="002E2177">
      <w:pPr>
        <w:ind w:left="432" w:hanging="432"/>
        <w:rPr>
          <w:b/>
          <w:color w:val="0000FF"/>
        </w:rPr>
      </w:pPr>
    </w:p>
    <w:p w14:paraId="55B8DA60" w14:textId="11C27B8F" w:rsidR="00676BD4" w:rsidRDefault="00676BD4" w:rsidP="002E2177">
      <w:pPr>
        <w:ind w:left="432" w:hanging="432"/>
        <w:rPr>
          <w:b/>
          <w:color w:val="0000FF"/>
        </w:rPr>
      </w:pPr>
    </w:p>
    <w:p w14:paraId="55B8DA61" w14:textId="77777777" w:rsidR="00676BD4" w:rsidRDefault="00C41794" w:rsidP="009F437B">
      <w:pPr>
        <w:keepNext/>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9F437B">
      <w:pPr>
        <w:rPr>
          <w:b/>
          <w:color w:val="0000FF"/>
        </w:rPr>
      </w:pPr>
    </w:p>
    <w:p w14:paraId="55B8DA63" w14:textId="26AB307C" w:rsidR="00496AF8" w:rsidRPr="00C41794" w:rsidRDefault="00B058A6" w:rsidP="00C41794">
      <w:pPr>
        <w:ind w:left="432" w:hanging="432"/>
        <w:rPr>
          <w:b/>
        </w:rPr>
      </w:pPr>
      <w:r w:rsidRPr="003B1CC5">
        <w:rPr>
          <w:b/>
          <w:color w:val="0000FF"/>
        </w:rPr>
        <w:lastRenderedPageBreak/>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27D44971"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F0DD4F9" w:rsidR="00A9011D" w:rsidRPr="00A9011D" w:rsidRDefault="00A04AD0" w:rsidP="00A9011D">
      <w:pPr>
        <w:ind w:left="0" w:firstLine="0"/>
        <w:rPr>
          <w:rFonts w:ascii="Calibri" w:eastAsia="Calibri" w:hAnsi="Calibri" w:cs="Times New Roman"/>
        </w:rPr>
      </w:pPr>
      <w:sdt>
        <w:sdtPr>
          <w:rPr>
            <w:bCs/>
            <w:color w:val="0000FF"/>
          </w:rPr>
          <w:id w:val="544646192"/>
          <w14:checkbox>
            <w14:checked w14:val="0"/>
            <w14:checkedState w14:val="2612" w14:font="MS Gothic"/>
            <w14:uncheckedState w14:val="2610" w14:font="MS Gothic"/>
          </w14:checkbox>
        </w:sdtPr>
        <w:sdtEndPr/>
        <w:sdtContent>
          <w:r w:rsidR="00064188">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(with evidence review)</w:t>
      </w:r>
    </w:p>
    <w:p w14:paraId="55B8DA6A" w14:textId="03775FE0" w:rsidR="00A9011D" w:rsidRPr="00A9011D" w:rsidRDefault="00A04AD0" w:rsidP="00A9011D">
      <w:pPr>
        <w:ind w:left="0" w:firstLine="0"/>
        <w:rPr>
          <w:rFonts w:ascii="Calibri" w:eastAsia="Calibri" w:hAnsi="Calibri" w:cs="Times New Roman"/>
          <w:b/>
          <w:i/>
        </w:rPr>
      </w:pPr>
      <w:sdt>
        <w:sdtPr>
          <w:rPr>
            <w:bCs/>
            <w:color w:val="0000FF"/>
          </w:rPr>
          <w:id w:val="-163322755"/>
          <w14:checkbox>
            <w14:checked w14:val="0"/>
            <w14:checkedState w14:val="2612" w14:font="MS Gothic"/>
            <w14:uncheckedState w14:val="2610" w14:font="MS Gothic"/>
          </w14:checkbox>
        </w:sdtPr>
        <w:sdtEndPr/>
        <w:sdtContent>
          <w:r w:rsidR="00064188">
            <w:rPr>
              <w:rFonts w:ascii="MS Gothic" w:eastAsia="MS Gothic" w:hAnsi="MS Gothic" w:hint="eastAsia"/>
              <w:bCs/>
              <w:color w:val="0000FF"/>
            </w:rPr>
            <w:t>☐</w:t>
          </w:r>
        </w:sdtContent>
      </w:sdt>
      <w:r w:rsidR="00064188" w:rsidRPr="003B1CC5">
        <w:rPr>
          <w:bCs/>
        </w:rPr>
        <w:t xml:space="preserve"> </w:t>
      </w:r>
      <w:r w:rsidR="00A9011D" w:rsidRPr="00A9011D">
        <w:rPr>
          <w:rFonts w:ascii="Calibri" w:eastAsia="Calibri" w:hAnsi="Calibri" w:cs="Times New Roman"/>
        </w:rPr>
        <w:t>US Preventive Services Task Force Recommendation</w:t>
      </w:r>
    </w:p>
    <w:p w14:paraId="55B8DA6B" w14:textId="05E0738B" w:rsidR="00A9011D" w:rsidRPr="00A9011D" w:rsidRDefault="00A04AD0" w:rsidP="00A9011D">
      <w:pPr>
        <w:ind w:left="0" w:firstLine="0"/>
        <w:rPr>
          <w:rFonts w:ascii="Calibri" w:eastAsia="Calibri" w:hAnsi="Calibri" w:cs="Times New Roman"/>
        </w:rPr>
      </w:pPr>
      <w:sdt>
        <w:sdtPr>
          <w:rPr>
            <w:bCs/>
            <w:color w:val="0000FF"/>
          </w:rPr>
          <w:id w:val="-564344051"/>
          <w14:checkbox>
            <w14:checked w14:val="1"/>
            <w14:checkedState w14:val="2612" w14:font="MS Gothic"/>
            <w14:uncheckedState w14:val="2610" w14:font="MS Gothic"/>
          </w14:checkbox>
        </w:sdtPr>
        <w:sdtEndPr/>
        <w:sdtContent>
          <w:r w:rsidR="00064188">
            <w:rPr>
              <w:rFonts w:ascii="MS Gothic" w:eastAsia="MS Gothic" w:hAnsi="MS Gothic" w:hint="eastAsia"/>
              <w:bCs/>
              <w:color w:val="0000FF"/>
            </w:rPr>
            <w:t>☒</w:t>
          </w:r>
        </w:sdtContent>
      </w:sdt>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5DBF20DE" w:rsidR="00A9011D" w:rsidRPr="000F4A7F" w:rsidRDefault="00A04AD0" w:rsidP="002E2177">
      <w:pPr>
        <w:ind w:left="0" w:firstLine="0"/>
        <w:rPr>
          <w:rFonts w:ascii="Calibri" w:eastAsia="Calibri" w:hAnsi="Calibri" w:cs="Times New Roman"/>
        </w:rPr>
      </w:pPr>
      <w:sdt>
        <w:sdtPr>
          <w:rPr>
            <w:bCs/>
            <w:color w:val="0000FF"/>
          </w:rPr>
          <w:id w:val="778300760"/>
          <w14:checkbox>
            <w14:checked w14:val="0"/>
            <w14:checkedState w14:val="2612" w14:font="MS Gothic"/>
            <w14:uncheckedState w14:val="2610" w14:font="MS Gothic"/>
          </w14:checkbox>
        </w:sdtPr>
        <w:sdtEndPr/>
        <w:sdtContent>
          <w:r w:rsidR="00064188">
            <w:rPr>
              <w:rFonts w:ascii="MS Gothic" w:eastAsia="MS Gothic" w:hAnsi="MS Gothic" w:hint="eastAsia"/>
              <w:bCs/>
              <w:color w:val="0000FF"/>
            </w:rPr>
            <w:t>☐</w:t>
          </w:r>
        </w:sdtContent>
      </w:sdt>
      <w:r w:rsidR="00A9011D" w:rsidRPr="00A9011D">
        <w:rPr>
          <w:rFonts w:ascii="Calibri" w:eastAsia="Calibri" w:hAnsi="Calibri" w:cs="Times New Roman"/>
        </w:rPr>
        <w:t xml:space="preserve"> Other </w:t>
      </w:r>
    </w:p>
    <w:p w14:paraId="55B8DA6D" w14:textId="726CF48A" w:rsidR="00A9011D" w:rsidRDefault="00A9011D" w:rsidP="002E2177">
      <w:pPr>
        <w:ind w:left="0" w:firstLine="0"/>
        <w:rPr>
          <w:iCs/>
        </w:rPr>
      </w:pPr>
    </w:p>
    <w:p w14:paraId="28191CE6" w14:textId="77777777" w:rsidR="007E7D96" w:rsidRPr="007E7D96" w:rsidRDefault="007E7D96" w:rsidP="007E7D96">
      <w:pPr>
        <w:ind w:left="0" w:firstLine="0"/>
        <w:rPr>
          <w:iCs/>
          <w:color w:val="0000FF"/>
        </w:rPr>
      </w:pPr>
      <w:r w:rsidRPr="007E7D96">
        <w:rPr>
          <w:iCs/>
          <w:color w:val="0000FF"/>
        </w:rPr>
        <w:t xml:space="preserve">The evidence for this measure includes: </w:t>
      </w:r>
    </w:p>
    <w:p w14:paraId="66766770" w14:textId="131C4E57" w:rsidR="007E7D96" w:rsidRPr="007E7D96" w:rsidRDefault="007E7D96" w:rsidP="007E7D96">
      <w:pPr>
        <w:pStyle w:val="ListParagraph"/>
        <w:numPr>
          <w:ilvl w:val="0"/>
          <w:numId w:val="7"/>
        </w:numPr>
        <w:rPr>
          <w:iCs/>
          <w:color w:val="0000FF"/>
        </w:rPr>
      </w:pPr>
      <w:r w:rsidRPr="007E7D96">
        <w:rPr>
          <w:iCs/>
          <w:color w:val="0000FF"/>
        </w:rPr>
        <w:t>A systematic review published in 2012 and additional studies identified since the review.</w:t>
      </w:r>
    </w:p>
    <w:p w14:paraId="55B8DA6E" w14:textId="6DA17DA3" w:rsidR="004E7215" w:rsidRPr="007922D7" w:rsidRDefault="007E7D96" w:rsidP="007922D7">
      <w:pPr>
        <w:pStyle w:val="ListParagraph"/>
        <w:numPr>
          <w:ilvl w:val="0"/>
          <w:numId w:val="7"/>
        </w:numPr>
        <w:rPr>
          <w:i/>
          <w:iCs/>
        </w:rPr>
      </w:pPr>
      <w:r w:rsidRPr="007E7D96">
        <w:rPr>
          <w:iCs/>
          <w:color w:val="0000FF"/>
        </w:rPr>
        <w:t xml:space="preserve">Standards for </w:t>
      </w:r>
      <w:bookmarkStart w:id="6" w:name="_GoBack"/>
      <w:bookmarkEnd w:id="6"/>
      <w:r w:rsidRPr="007E7D96">
        <w:rPr>
          <w:iCs/>
          <w:color w:val="0000FF"/>
        </w:rPr>
        <w:t>Medication Reconciliation put forth in the National Patient Safety Goals by The Joint Commission.</w:t>
      </w:r>
    </w:p>
    <w:tbl>
      <w:tblPr>
        <w:tblStyle w:val="TableGrid"/>
        <w:tblW w:w="0" w:type="auto"/>
        <w:tblLook w:val="04A0" w:firstRow="1" w:lastRow="0" w:firstColumn="1" w:lastColumn="0" w:noHBand="0" w:noVBand="1"/>
      </w:tblPr>
      <w:tblGrid>
        <w:gridCol w:w="3325"/>
        <w:gridCol w:w="6025"/>
      </w:tblGrid>
      <w:tr w:rsidR="00AB4ECE" w14:paraId="55B8DA76" w14:textId="77777777" w:rsidTr="003C6B78">
        <w:tc>
          <w:tcPr>
            <w:tcW w:w="332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025" w:type="dxa"/>
          </w:tcPr>
          <w:p w14:paraId="55B8DA75" w14:textId="5DC06834" w:rsidR="00AB4ECE" w:rsidRPr="00AB4ECE" w:rsidRDefault="007E7D96" w:rsidP="002E2177">
            <w:pPr>
              <w:ind w:left="0" w:firstLine="0"/>
              <w:rPr>
                <w:b/>
              </w:rPr>
            </w:pPr>
            <w:r w:rsidRPr="1719BFFE">
              <w:rPr>
                <w:rFonts w:ascii="Calibri" w:eastAsia="Calibri" w:hAnsi="Calibri" w:cs="Calibri"/>
                <w:color w:val="0000FF"/>
                <w:lang w:val="de-DE"/>
              </w:rPr>
              <w:t xml:space="preserve">Mueller, S. K., Sponsler, K. C., Kripalani, S., &amp; Schnipper, J. L. (2012). </w:t>
            </w:r>
            <w:r w:rsidRPr="1719BFFE">
              <w:rPr>
                <w:rFonts w:ascii="Calibri" w:eastAsia="Calibri" w:hAnsi="Calibri" w:cs="Calibri"/>
                <w:color w:val="0000FF"/>
              </w:rPr>
              <w:t xml:space="preserve">Hospital-based medication reconciliation practices: A systematic review. </w:t>
            </w:r>
            <w:r w:rsidRPr="1719BFFE">
              <w:rPr>
                <w:rFonts w:ascii="Calibri" w:eastAsia="Calibri" w:hAnsi="Calibri" w:cs="Calibri"/>
                <w:i/>
                <w:iCs/>
                <w:color w:val="0000FF"/>
              </w:rPr>
              <w:t>Archives of Internal Medicine, 172</w:t>
            </w:r>
            <w:r w:rsidRPr="1719BFFE">
              <w:rPr>
                <w:rFonts w:ascii="Calibri" w:eastAsia="Calibri" w:hAnsi="Calibri" w:cs="Calibri"/>
                <w:color w:val="0000FF"/>
              </w:rPr>
              <w:t>(14), 1057-1069. doi: 10.1001/archinternmed.2012.2246</w:t>
            </w:r>
          </w:p>
        </w:tc>
      </w:tr>
      <w:tr w:rsidR="005E262B" w14:paraId="55B8DA79" w14:textId="77777777" w:rsidTr="003C6B78">
        <w:tc>
          <w:tcPr>
            <w:tcW w:w="3325" w:type="dxa"/>
          </w:tcPr>
          <w:p w14:paraId="55B8DA77" w14:textId="77777777" w:rsidR="005E262B" w:rsidRDefault="005E262B" w:rsidP="005E262B">
            <w:pPr>
              <w:ind w:left="0" w:firstLine="0"/>
            </w:pPr>
            <w:r>
              <w:t>Quote the guideline or recommendation verbatim about the process, structure or intermediate outcome being measured. If not a guideline, summarize the conclusions from the SR.</w:t>
            </w:r>
          </w:p>
        </w:tc>
        <w:tc>
          <w:tcPr>
            <w:tcW w:w="6025" w:type="dxa"/>
          </w:tcPr>
          <w:p w14:paraId="3D98911B" w14:textId="6A0245BB" w:rsidR="005E262B" w:rsidRPr="00D7020C" w:rsidRDefault="005E262B" w:rsidP="005E262B">
            <w:pPr>
              <w:pStyle w:val="NormalWeb"/>
              <w:rPr>
                <w:sz w:val="22"/>
                <w:szCs w:val="22"/>
              </w:rPr>
            </w:pPr>
            <w:r w:rsidRPr="1719BFFE">
              <w:rPr>
                <w:rFonts w:ascii="Calibri" w:eastAsia="Calibri" w:hAnsi="Calibri" w:cs="Calibri"/>
                <w:color w:val="0000FF"/>
                <w:sz w:val="22"/>
                <w:szCs w:val="22"/>
              </w:rPr>
              <w:t>A systematic review published in 2012 identified 26 controlled studies related to hospital-based medication reconciliation practices (Mueller, Sponsler, Kripalani, &amp; Schnipper, 2012). This review used the 2007 Institute for Healthcare Improvement definition of medication reconciliation, which is the “process of identifying the most accurate list of all medications a patient is taking…and using this list to provide correct medications for patients anywhere within the health care system.” The review concludes that the identified studies “consistently demonstrated a reduction in medication discrepancies (17/17 studies), potential adverse drug events (5/6 studies), and adverse drug events (2/2 studies</w:t>
            </w:r>
            <w:r w:rsidR="00273201">
              <w:rPr>
                <w:rFonts w:ascii="Calibri" w:eastAsia="Calibri" w:hAnsi="Calibri" w:cs="Calibri"/>
                <w:color w:val="0000FF"/>
                <w:sz w:val="22"/>
                <w:szCs w:val="22"/>
              </w:rPr>
              <w:t>).</w:t>
            </w:r>
            <w:r w:rsidR="005C2CFB">
              <w:rPr>
                <w:rFonts w:ascii="Calibri" w:eastAsia="Calibri" w:hAnsi="Calibri" w:cs="Calibri"/>
                <w:color w:val="0000FF"/>
                <w:sz w:val="22"/>
                <w:szCs w:val="22"/>
              </w:rPr>
              <w:t xml:space="preserve"> </w:t>
            </w:r>
            <w:r w:rsidRPr="1719BFFE">
              <w:rPr>
                <w:rFonts w:ascii="Calibri" w:eastAsia="Calibri" w:hAnsi="Calibri" w:cs="Calibri"/>
                <w:color w:val="0000FF"/>
                <w:sz w:val="22"/>
                <w:szCs w:val="22"/>
              </w:rPr>
              <w:t xml:space="preserve">Key aspects of successful interventions </w:t>
            </w:r>
            <w:r w:rsidRPr="1719BFFE">
              <w:rPr>
                <w:rFonts w:ascii="Calibri" w:eastAsia="Calibri" w:hAnsi="Calibri" w:cs="Calibri"/>
                <w:color w:val="0000FF"/>
                <w:sz w:val="22"/>
                <w:szCs w:val="22"/>
              </w:rPr>
              <w:lastRenderedPageBreak/>
              <w:t xml:space="preserve">included intensive pharmacy staff involvement and targeting the intervention to a ‘high-risk’ patient population.” Of note, the systematic review did not discriminate between medication reconciliation at admission, transfer between hospital units, or discharge. </w:t>
            </w:r>
          </w:p>
          <w:p w14:paraId="55B8DA78" w14:textId="7B7B2CF4" w:rsidR="005E262B" w:rsidRDefault="005E262B" w:rsidP="005E262B">
            <w:pPr>
              <w:ind w:left="0" w:firstLine="0"/>
            </w:pPr>
            <w:r w:rsidRPr="1719BFFE">
              <w:rPr>
                <w:rFonts w:ascii="Calibri" w:eastAsia="Calibri" w:hAnsi="Calibri" w:cs="Calibri"/>
                <w:color w:val="0000FF"/>
              </w:rPr>
              <w:t xml:space="preserve">*Institute for Healthcare Improvement. (2007) Medication reconciliation review.  Retrieved on May 3, 2012 from http: //www.ihi.org/knowledge/Pages/Tools/ </w:t>
            </w:r>
            <w:r w:rsidR="002524D3">
              <w:rPr>
                <w:rFonts w:ascii="Calibri" w:eastAsia="Calibri" w:hAnsi="Calibri" w:cs="Calibri"/>
                <w:color w:val="0000FF"/>
              </w:rPr>
              <w:t>MedicationReconciliation Review</w:t>
            </w:r>
            <w:r w:rsidRPr="1719BFFE">
              <w:rPr>
                <w:rFonts w:ascii="Calibri" w:eastAsia="Calibri" w:hAnsi="Calibri" w:cs="Calibri"/>
                <w:color w:val="0000FF"/>
              </w:rPr>
              <w:t>.aspx</w:t>
            </w:r>
            <w:r w:rsidRPr="1719BFFE">
              <w:rPr>
                <w:rFonts w:cs="Helvetica"/>
                <w:color w:val="1A1718"/>
              </w:rPr>
              <w:t xml:space="preserve"> </w:t>
            </w:r>
          </w:p>
        </w:tc>
      </w:tr>
      <w:tr w:rsidR="005E262B" w14:paraId="55B8DA7C" w14:textId="77777777" w:rsidTr="003C6B78">
        <w:tc>
          <w:tcPr>
            <w:tcW w:w="3325" w:type="dxa"/>
          </w:tcPr>
          <w:p w14:paraId="55B8DA7A" w14:textId="77777777" w:rsidR="005E262B" w:rsidRDefault="005E262B" w:rsidP="005E262B">
            <w:pPr>
              <w:ind w:left="0" w:firstLine="0"/>
            </w:pPr>
            <w:r>
              <w:lastRenderedPageBreak/>
              <w:t xml:space="preserve">Grade assigned to the </w:t>
            </w:r>
            <w:r w:rsidRPr="004E7215">
              <w:rPr>
                <w:b/>
              </w:rPr>
              <w:t>evidence</w:t>
            </w:r>
            <w:r>
              <w:t xml:space="preserve"> associated with the recommendation with the definition of the grade</w:t>
            </w:r>
          </w:p>
        </w:tc>
        <w:tc>
          <w:tcPr>
            <w:tcW w:w="6025" w:type="dxa"/>
          </w:tcPr>
          <w:p w14:paraId="55B8DA7B" w14:textId="559ACE84" w:rsidR="005E262B" w:rsidRDefault="005E262B" w:rsidP="005E262B">
            <w:pPr>
              <w:ind w:left="0" w:firstLine="0"/>
            </w:pPr>
            <w:r w:rsidRPr="1719BFFE">
              <w:rPr>
                <w:rFonts w:ascii="Calibri" w:eastAsia="Calibri" w:hAnsi="Calibri" w:cs="Calibri"/>
                <w:color w:val="0000FF"/>
              </w:rPr>
              <w:t>The systematic review did not provide an overall grade for the body of evidence. Of the 26 studies identified, 6 were rated as good quality, 5 as fair, and 15 as poor, using the United States Preventive Services Task Force (USPSTF) criteria.</w:t>
            </w:r>
          </w:p>
        </w:tc>
      </w:tr>
      <w:tr w:rsidR="005E262B" w14:paraId="55B8DA7F" w14:textId="77777777" w:rsidTr="003C6B78">
        <w:tc>
          <w:tcPr>
            <w:tcW w:w="3325" w:type="dxa"/>
          </w:tcPr>
          <w:p w14:paraId="55B8DA7D" w14:textId="77777777" w:rsidR="005E262B" w:rsidRDefault="005E262B" w:rsidP="005E262B">
            <w:pPr>
              <w:ind w:left="0" w:firstLine="0"/>
            </w:pPr>
            <w:r>
              <w:t>Provide all other grades and definitions from the evidence grading system</w:t>
            </w:r>
          </w:p>
        </w:tc>
        <w:tc>
          <w:tcPr>
            <w:tcW w:w="6025" w:type="dxa"/>
          </w:tcPr>
          <w:p w14:paraId="5C9D2109" w14:textId="77777777" w:rsidR="005E262B" w:rsidRPr="004C2C8B" w:rsidRDefault="005E262B" w:rsidP="005E262B">
            <w:pPr>
              <w:ind w:left="72" w:hanging="2"/>
              <w:rPr>
                <w:rFonts w:ascii="Calibri" w:eastAsia="Calibri" w:hAnsi="Calibri" w:cs="Calibri"/>
                <w:color w:val="0000FF"/>
              </w:rPr>
            </w:pPr>
            <w:r w:rsidRPr="1719BFFE">
              <w:rPr>
                <w:rFonts w:ascii="Calibri" w:eastAsia="Calibri" w:hAnsi="Calibri" w:cs="Calibri"/>
                <w:color w:val="0000FF"/>
              </w:rPr>
              <w:t>The USPSTF grades the quality of the overall evidence for a service on a 3-point scale (good, fair, poor):</w:t>
            </w:r>
          </w:p>
          <w:p w14:paraId="13092FD0" w14:textId="77777777" w:rsidR="005E262B" w:rsidRPr="004C2C8B" w:rsidRDefault="005E262B" w:rsidP="00D176C6">
            <w:pPr>
              <w:widowControl w:val="0"/>
              <w:numPr>
                <w:ilvl w:val="0"/>
                <w:numId w:val="13"/>
              </w:numPr>
              <w:spacing w:line="216" w:lineRule="auto"/>
              <w:ind w:left="587"/>
              <w:rPr>
                <w:rFonts w:ascii="Calibri" w:eastAsia="Calibri" w:hAnsi="Calibri" w:cs="Calibri"/>
                <w:color w:val="0000FF"/>
              </w:rPr>
            </w:pPr>
            <w:r w:rsidRPr="1719BFFE">
              <w:rPr>
                <w:rFonts w:ascii="Calibri" w:eastAsia="Calibri" w:hAnsi="Calibri" w:cs="Calibri"/>
                <w:color w:val="0000FF"/>
              </w:rPr>
              <w:t>Good: Evidence includes consistent results from well-designed, well-conducted studies in representative populations that directly assess effects on health outcomes.</w:t>
            </w:r>
          </w:p>
          <w:p w14:paraId="36E97F51" w14:textId="77777777" w:rsidR="005C2CFB" w:rsidRDefault="005E262B" w:rsidP="005C2CFB">
            <w:pPr>
              <w:widowControl w:val="0"/>
              <w:numPr>
                <w:ilvl w:val="0"/>
                <w:numId w:val="13"/>
              </w:numPr>
              <w:spacing w:line="216" w:lineRule="auto"/>
              <w:ind w:left="587"/>
              <w:rPr>
                <w:rFonts w:ascii="Calibri" w:eastAsia="Calibri" w:hAnsi="Calibri" w:cs="Calibri"/>
                <w:color w:val="0000FF"/>
              </w:rPr>
            </w:pPr>
            <w:r w:rsidRPr="1719BFFE">
              <w:rPr>
                <w:rFonts w:ascii="Calibri" w:eastAsia="Calibri" w:hAnsi="Calibri" w:cs="Calibri"/>
                <w:color w:val="0000FF"/>
              </w:rPr>
              <w:t>Fair: Evidence is sufficient to determine effects on health outcomes, but the strength of the evidence is limited by the number, quality, or consistency of the individual studies, generalizability to routine practice, or indirect nature of the evidence on health outcomes.</w:t>
            </w:r>
          </w:p>
          <w:p w14:paraId="55B8DA7E" w14:textId="684EED10" w:rsidR="005E262B" w:rsidRPr="005C2CFB" w:rsidRDefault="005E262B" w:rsidP="005C2CFB">
            <w:pPr>
              <w:widowControl w:val="0"/>
              <w:numPr>
                <w:ilvl w:val="0"/>
                <w:numId w:val="13"/>
              </w:numPr>
              <w:spacing w:line="216" w:lineRule="auto"/>
              <w:ind w:left="587"/>
              <w:rPr>
                <w:rFonts w:ascii="Calibri" w:eastAsia="Calibri" w:hAnsi="Calibri" w:cs="Calibri"/>
                <w:color w:val="0000FF"/>
              </w:rPr>
            </w:pPr>
            <w:r w:rsidRPr="005C2CFB">
              <w:rPr>
                <w:rFonts w:ascii="Calibri" w:eastAsia="Calibri" w:hAnsi="Calibri" w:cs="Calibri"/>
                <w:color w:val="0000FF"/>
              </w:rPr>
              <w:t>Poor: Evidence is insufficient to assess the effects on health outcomes because of limited number or power of studies, important flaws in their design or conduct, gaps in the chain of evidence, or lack of information on important health outcomes.</w:t>
            </w:r>
          </w:p>
        </w:tc>
      </w:tr>
      <w:tr w:rsidR="005E262B" w14:paraId="55B8DA82" w14:textId="77777777" w:rsidTr="003C6B78">
        <w:tc>
          <w:tcPr>
            <w:tcW w:w="3325" w:type="dxa"/>
          </w:tcPr>
          <w:p w14:paraId="55B8DA80" w14:textId="77777777" w:rsidR="005E262B" w:rsidRDefault="005E262B" w:rsidP="005E262B">
            <w:pPr>
              <w:ind w:left="0" w:firstLine="0"/>
            </w:pPr>
            <w:r>
              <w:t xml:space="preserve">Grade assigned to the </w:t>
            </w:r>
            <w:r w:rsidRPr="004E7215">
              <w:rPr>
                <w:b/>
              </w:rPr>
              <w:t>recommendation</w:t>
            </w:r>
            <w:r>
              <w:t xml:space="preserve"> with definition of the grade</w:t>
            </w:r>
          </w:p>
        </w:tc>
        <w:tc>
          <w:tcPr>
            <w:tcW w:w="6025" w:type="dxa"/>
          </w:tcPr>
          <w:p w14:paraId="55B8DA81" w14:textId="2967E7C0" w:rsidR="005E262B" w:rsidRDefault="005E262B" w:rsidP="005E262B">
            <w:pPr>
              <w:ind w:left="0" w:firstLine="0"/>
            </w:pPr>
            <w:r w:rsidRPr="1719BFFE">
              <w:rPr>
                <w:rFonts w:ascii="Calibri" w:eastAsia="Calibri" w:hAnsi="Calibri" w:cs="Calibri"/>
                <w:color w:val="0000FF"/>
              </w:rPr>
              <w:t xml:space="preserve">The authors of the systematic review did not make specific recommendations. </w:t>
            </w:r>
          </w:p>
        </w:tc>
      </w:tr>
      <w:tr w:rsidR="005E262B" w14:paraId="55B8DA85" w14:textId="77777777" w:rsidTr="003C6B78">
        <w:tc>
          <w:tcPr>
            <w:tcW w:w="3325" w:type="dxa"/>
          </w:tcPr>
          <w:p w14:paraId="55B8DA83" w14:textId="77777777" w:rsidR="005E262B" w:rsidRDefault="005E262B" w:rsidP="005E262B">
            <w:pPr>
              <w:ind w:left="0" w:firstLine="0"/>
            </w:pPr>
            <w:r>
              <w:t>Provide all other grades and definitions from the recommendation grading system</w:t>
            </w:r>
          </w:p>
        </w:tc>
        <w:tc>
          <w:tcPr>
            <w:tcW w:w="6025" w:type="dxa"/>
          </w:tcPr>
          <w:p w14:paraId="55B8DA84" w14:textId="4A2F0AC4" w:rsidR="005E262B" w:rsidRDefault="005E262B" w:rsidP="005E262B">
            <w:pPr>
              <w:ind w:left="0" w:firstLine="0"/>
            </w:pPr>
            <w:r w:rsidRPr="1719BFFE">
              <w:rPr>
                <w:rFonts w:ascii="Calibri" w:eastAsia="Calibri" w:hAnsi="Calibri" w:cs="Calibri"/>
                <w:color w:val="0000FF"/>
              </w:rPr>
              <w:t xml:space="preserve">The authors of the systematic review did not provide other grades and definitions. </w:t>
            </w:r>
          </w:p>
        </w:tc>
      </w:tr>
      <w:tr w:rsidR="005E262B" w14:paraId="55B8DA8A" w14:textId="77777777" w:rsidTr="003C6B78">
        <w:tc>
          <w:tcPr>
            <w:tcW w:w="3325" w:type="dxa"/>
          </w:tcPr>
          <w:p w14:paraId="55B8DA86" w14:textId="77777777" w:rsidR="005E262B" w:rsidRDefault="005E262B" w:rsidP="005E262B">
            <w:pPr>
              <w:ind w:left="0" w:firstLine="0"/>
            </w:pPr>
            <w:r>
              <w:t>Body of evidence:</w:t>
            </w:r>
          </w:p>
          <w:p w14:paraId="55B8DA87" w14:textId="77777777" w:rsidR="005E262B" w:rsidRDefault="005E262B" w:rsidP="005E262B">
            <w:pPr>
              <w:pStyle w:val="ListParagraph"/>
              <w:numPr>
                <w:ilvl w:val="0"/>
                <w:numId w:val="10"/>
              </w:numPr>
            </w:pPr>
            <w:r>
              <w:t>Quantity – how many studies?</w:t>
            </w:r>
          </w:p>
          <w:p w14:paraId="55B8DA88" w14:textId="77777777" w:rsidR="005E262B" w:rsidRDefault="005E262B" w:rsidP="005E262B">
            <w:pPr>
              <w:pStyle w:val="ListParagraph"/>
              <w:numPr>
                <w:ilvl w:val="0"/>
                <w:numId w:val="10"/>
              </w:numPr>
            </w:pPr>
            <w:r>
              <w:t>Quality – what type of studies?</w:t>
            </w:r>
          </w:p>
        </w:tc>
        <w:tc>
          <w:tcPr>
            <w:tcW w:w="6025" w:type="dxa"/>
          </w:tcPr>
          <w:p w14:paraId="55B8DA89" w14:textId="1B9E90EB" w:rsidR="005E262B" w:rsidRDefault="005E262B" w:rsidP="005E262B">
            <w:pPr>
              <w:ind w:left="0" w:firstLine="0"/>
            </w:pPr>
            <w:r w:rsidRPr="1719BFFE">
              <w:rPr>
                <w:color w:val="0000FF"/>
              </w:rPr>
              <w:t xml:space="preserve">Twenty-six controlled studies were included in the systematic review. Ten of the studies were randomized controlled trials, three were nonrandomized trials with a concurrent control group, and 13 were pre-post studies. </w:t>
            </w:r>
            <w:r w:rsidRPr="1719BFFE">
              <w:rPr>
                <w:rFonts w:ascii="Calibri" w:eastAsia="Calibri" w:hAnsi="Calibri" w:cs="Calibri"/>
                <w:color w:val="0000FF"/>
              </w:rPr>
              <w:t xml:space="preserve">Based on the USPSTF grades, 11 of the 26 studies were graded as good to fair quality. </w:t>
            </w:r>
          </w:p>
        </w:tc>
      </w:tr>
      <w:tr w:rsidR="005E262B" w14:paraId="55B8DA8D" w14:textId="77777777" w:rsidTr="003C6B78">
        <w:tc>
          <w:tcPr>
            <w:tcW w:w="3325" w:type="dxa"/>
          </w:tcPr>
          <w:p w14:paraId="55B8DA8B" w14:textId="77777777" w:rsidR="005E262B" w:rsidRDefault="005E262B" w:rsidP="005E262B">
            <w:pPr>
              <w:ind w:left="0" w:firstLine="0"/>
            </w:pPr>
            <w:r>
              <w:t xml:space="preserve">Estimates of benefit and consistency across studies </w:t>
            </w:r>
          </w:p>
        </w:tc>
        <w:tc>
          <w:tcPr>
            <w:tcW w:w="6025" w:type="dxa"/>
          </w:tcPr>
          <w:p w14:paraId="55B8DA8C" w14:textId="690F0580" w:rsidR="005E262B" w:rsidRDefault="005E262B" w:rsidP="008F77E8">
            <w:pPr>
              <w:ind w:left="0" w:firstLine="0"/>
            </w:pPr>
            <w:r w:rsidRPr="1719BFFE">
              <w:rPr>
                <w:rFonts w:ascii="Calibri" w:eastAsia="Calibri" w:hAnsi="Calibri" w:cs="Calibri"/>
                <w:color w:val="0000FF"/>
              </w:rPr>
              <w:t>The studies in the review “consistently demonstrated a reduction in medication discrepancies (17/17 studies), potential adverse drug events (5/6 studies), and a</w:t>
            </w:r>
            <w:r w:rsidR="008F77E8">
              <w:rPr>
                <w:rFonts w:ascii="Calibri" w:eastAsia="Calibri" w:hAnsi="Calibri" w:cs="Calibri"/>
                <w:color w:val="0000FF"/>
              </w:rPr>
              <w:t>dverse drug events (2/2 studies</w:t>
            </w:r>
            <w:r w:rsidRPr="1719BFFE">
              <w:rPr>
                <w:rFonts w:ascii="Calibri" w:eastAsia="Calibri" w:hAnsi="Calibri" w:cs="Calibri"/>
                <w:color w:val="0000FF"/>
              </w:rPr>
              <w:t xml:space="preserve">)”. </w:t>
            </w:r>
          </w:p>
        </w:tc>
      </w:tr>
      <w:tr w:rsidR="005E262B" w14:paraId="55B8DA90" w14:textId="77777777" w:rsidTr="003C6B78">
        <w:tc>
          <w:tcPr>
            <w:tcW w:w="3325" w:type="dxa"/>
          </w:tcPr>
          <w:p w14:paraId="55B8DA8E" w14:textId="77777777" w:rsidR="005E262B" w:rsidRDefault="005E262B" w:rsidP="005E262B">
            <w:pPr>
              <w:ind w:left="0" w:firstLine="0"/>
            </w:pPr>
            <w:r>
              <w:t>What harms were identified?</w:t>
            </w:r>
          </w:p>
        </w:tc>
        <w:tc>
          <w:tcPr>
            <w:tcW w:w="6025" w:type="dxa"/>
          </w:tcPr>
          <w:p w14:paraId="55B8DA8F" w14:textId="010E9BA7" w:rsidR="005E262B" w:rsidRDefault="005E262B" w:rsidP="005E262B">
            <w:pPr>
              <w:ind w:left="0" w:firstLine="0"/>
            </w:pPr>
            <w:r w:rsidRPr="00F175A4">
              <w:rPr>
                <w:rFonts w:ascii="Calibri" w:eastAsia="Calibri" w:hAnsi="Calibri" w:cs="Calibri"/>
                <w:color w:val="0000FF"/>
                <w:spacing w:val="-1"/>
              </w:rPr>
              <w:t xml:space="preserve">This review did not identify any harms from this intervention. </w:t>
            </w:r>
          </w:p>
        </w:tc>
      </w:tr>
      <w:tr w:rsidR="005E262B" w14:paraId="55B8DA93" w14:textId="77777777" w:rsidTr="003C6B78">
        <w:tc>
          <w:tcPr>
            <w:tcW w:w="3325" w:type="dxa"/>
          </w:tcPr>
          <w:p w14:paraId="55B8DA91" w14:textId="77777777" w:rsidR="005E262B" w:rsidRDefault="005E262B" w:rsidP="005E262B">
            <w:pPr>
              <w:ind w:left="0" w:firstLine="0"/>
            </w:pPr>
            <w:r>
              <w:lastRenderedPageBreak/>
              <w:t>Identify any new studies conducted since the SR. Do the new studies change the conclusions from the SR?</w:t>
            </w:r>
          </w:p>
        </w:tc>
        <w:tc>
          <w:tcPr>
            <w:tcW w:w="6025" w:type="dxa"/>
          </w:tcPr>
          <w:p w14:paraId="61695479" w14:textId="14E4AB71" w:rsidR="007B6435" w:rsidRDefault="007B6435" w:rsidP="007B6435">
            <w:pPr>
              <w:ind w:left="0" w:firstLine="0"/>
              <w:rPr>
                <w:rFonts w:ascii="Calibri" w:eastAsia="Calibri" w:hAnsi="Calibri" w:cs="Calibri"/>
                <w:color w:val="0000FF"/>
              </w:rPr>
            </w:pPr>
            <w:bookmarkStart w:id="7" w:name="_Hlk496047096"/>
            <w:r>
              <w:rPr>
                <w:rFonts w:ascii="Calibri" w:eastAsia="Calibri" w:hAnsi="Calibri" w:cs="Calibri"/>
                <w:color w:val="0000FF"/>
              </w:rPr>
              <w:t>To identify additional studies since the systematic review by Mueller et al., we conducted an additional literature review of recent studies that evaluated the impact of (optimized) medication reconciliation-at-admission on the reduction of medication discrepancies, potential adverse drug events</w:t>
            </w:r>
            <w:r w:rsidR="000B4AC0">
              <w:rPr>
                <w:rFonts w:ascii="Calibri" w:eastAsia="Calibri" w:hAnsi="Calibri" w:cs="Calibri"/>
                <w:color w:val="0000FF"/>
              </w:rPr>
              <w:t xml:space="preserve"> (pADEs)</w:t>
            </w:r>
            <w:r>
              <w:rPr>
                <w:rFonts w:ascii="Calibri" w:eastAsia="Calibri" w:hAnsi="Calibri" w:cs="Calibri"/>
                <w:color w:val="0000FF"/>
              </w:rPr>
              <w:t>, or adverse drug events</w:t>
            </w:r>
            <w:r w:rsidR="000B4AC0">
              <w:rPr>
                <w:rFonts w:ascii="Calibri" w:eastAsia="Calibri" w:hAnsi="Calibri" w:cs="Calibri"/>
                <w:color w:val="0000FF"/>
              </w:rPr>
              <w:t xml:space="preserve"> (ADEs)</w:t>
            </w:r>
            <w:r>
              <w:rPr>
                <w:rFonts w:ascii="Calibri" w:eastAsia="Calibri" w:hAnsi="Calibri" w:cs="Calibri"/>
                <w:color w:val="0000FF"/>
              </w:rPr>
              <w:t xml:space="preserve">. Using PubMed, we searched a Medical Subject Headings (MeSH) of </w:t>
            </w:r>
            <w:r w:rsidRPr="00EE21B2">
              <w:rPr>
                <w:rFonts w:ascii="Calibri" w:eastAsia="Calibri" w:hAnsi="Calibri" w:cs="Calibri"/>
                <w:i/>
                <w:color w:val="0000FF"/>
              </w:rPr>
              <w:t>medication reconciliation</w:t>
            </w:r>
            <w:r>
              <w:rPr>
                <w:rFonts w:ascii="Calibri" w:eastAsia="Calibri" w:hAnsi="Calibri" w:cs="Calibri"/>
                <w:color w:val="0000FF"/>
              </w:rPr>
              <w:t xml:space="preserve"> as a search term to retrieve additional studies published from March 2012 to </w:t>
            </w:r>
            <w:r w:rsidR="00BC5D12">
              <w:rPr>
                <w:rFonts w:ascii="Calibri" w:eastAsia="Calibri" w:hAnsi="Calibri" w:cs="Calibri"/>
                <w:color w:val="0000FF"/>
              </w:rPr>
              <w:t>October 2017</w:t>
            </w:r>
            <w:r>
              <w:rPr>
                <w:rFonts w:ascii="Calibri" w:eastAsia="Calibri" w:hAnsi="Calibri" w:cs="Calibri"/>
                <w:color w:val="0000FF"/>
              </w:rPr>
              <w:t xml:space="preserve">. A total of 591 studies were identified and </w:t>
            </w:r>
            <w:r w:rsidRPr="00342361">
              <w:rPr>
                <w:rFonts w:ascii="Calibri" w:eastAsia="Calibri" w:hAnsi="Calibri" w:cs="Calibri"/>
                <w:color w:val="0000FF"/>
              </w:rPr>
              <w:t>1</w:t>
            </w:r>
            <w:r w:rsidR="00342361" w:rsidRPr="00BC5D12">
              <w:rPr>
                <w:rFonts w:ascii="Calibri" w:eastAsia="Calibri" w:hAnsi="Calibri" w:cs="Calibri"/>
                <w:color w:val="0000FF"/>
              </w:rPr>
              <w:t>6</w:t>
            </w:r>
            <w:r w:rsidRPr="00342361">
              <w:rPr>
                <w:rFonts w:ascii="Calibri" w:eastAsia="Calibri" w:hAnsi="Calibri" w:cs="Calibri"/>
                <w:color w:val="0000FF"/>
              </w:rPr>
              <w:t xml:space="preserve"> studies</w:t>
            </w:r>
            <w:r>
              <w:rPr>
                <w:rFonts w:ascii="Calibri" w:eastAsia="Calibri" w:hAnsi="Calibri" w:cs="Calibri"/>
                <w:color w:val="0000FF"/>
              </w:rPr>
              <w:t xml:space="preserve"> were considered as relevant via initial independent assessment of titles and subsequent examination of abstracts with or without full-text review.</w:t>
            </w:r>
          </w:p>
          <w:p w14:paraId="20DA9B72" w14:textId="0A7A3702" w:rsidR="007B6435" w:rsidRDefault="007B6435" w:rsidP="007B6435">
            <w:pPr>
              <w:ind w:left="0" w:firstLine="0"/>
              <w:rPr>
                <w:rFonts w:ascii="Calibri" w:eastAsia="Calibri" w:hAnsi="Calibri" w:cs="Calibri"/>
                <w:color w:val="0000FF"/>
              </w:rPr>
            </w:pPr>
          </w:p>
          <w:p w14:paraId="1A6B2A9F" w14:textId="0E354CEF" w:rsidR="00342361" w:rsidRDefault="007B6435" w:rsidP="007B6435">
            <w:pPr>
              <w:ind w:left="0" w:firstLine="0"/>
              <w:rPr>
                <w:rFonts w:ascii="Calibri" w:eastAsia="Calibri" w:hAnsi="Calibri" w:cs="Calibri"/>
                <w:color w:val="0000FF"/>
              </w:rPr>
            </w:pPr>
            <w:r>
              <w:rPr>
                <w:rFonts w:ascii="Calibri" w:eastAsia="Calibri" w:hAnsi="Calibri" w:cs="Calibri"/>
                <w:color w:val="0000FF"/>
              </w:rPr>
              <w:t>Review of the new 1</w:t>
            </w:r>
            <w:r w:rsidR="00342361">
              <w:rPr>
                <w:rFonts w:ascii="Calibri" w:eastAsia="Calibri" w:hAnsi="Calibri" w:cs="Calibri"/>
                <w:color w:val="0000FF"/>
              </w:rPr>
              <w:t xml:space="preserve">6 </w:t>
            </w:r>
            <w:r>
              <w:rPr>
                <w:rFonts w:ascii="Calibri" w:eastAsia="Calibri" w:hAnsi="Calibri" w:cs="Calibri"/>
                <w:color w:val="0000FF"/>
              </w:rPr>
              <w:t xml:space="preserve">studies confirmed the conclusion from </w:t>
            </w:r>
            <w:r w:rsidR="000B4AC0">
              <w:rPr>
                <w:rFonts w:ascii="Calibri" w:eastAsia="Calibri" w:hAnsi="Calibri" w:cs="Calibri"/>
                <w:color w:val="0000FF"/>
              </w:rPr>
              <w:t>the systematic review</w:t>
            </w:r>
            <w:r>
              <w:rPr>
                <w:rFonts w:ascii="Calibri" w:eastAsia="Calibri" w:hAnsi="Calibri" w:cs="Calibri"/>
                <w:color w:val="0000FF"/>
              </w:rPr>
              <w:t xml:space="preserve">; </w:t>
            </w:r>
            <w:r w:rsidR="000B4AC0">
              <w:rPr>
                <w:rFonts w:ascii="Calibri" w:eastAsia="Calibri" w:hAnsi="Calibri" w:cs="Calibri"/>
                <w:color w:val="0000FF"/>
              </w:rPr>
              <w:t>p</w:t>
            </w:r>
            <w:r w:rsidR="00023B65" w:rsidRPr="00515ECB">
              <w:rPr>
                <w:rFonts w:ascii="Calibri" w:eastAsia="Calibri" w:hAnsi="Calibri" w:cs="Calibri"/>
                <w:color w:val="0000FF"/>
              </w:rPr>
              <w:t>erforming medication reconciliation at admission significantly decreased medication discrepancies</w:t>
            </w:r>
            <w:r w:rsidR="00023B65">
              <w:t xml:space="preserve"> </w:t>
            </w:r>
            <w:r>
              <w:rPr>
                <w:rFonts w:ascii="Calibri" w:eastAsia="Calibri" w:hAnsi="Calibri" w:cs="Calibri"/>
                <w:color w:val="0000FF"/>
              </w:rPr>
              <w:t>(10/13 studies)</w:t>
            </w:r>
            <w:r w:rsidR="00F61865">
              <w:rPr>
                <w:rFonts w:ascii="Calibri" w:eastAsia="Calibri" w:hAnsi="Calibri" w:cs="Calibri"/>
                <w:color w:val="0000FF"/>
              </w:rPr>
              <w:t xml:space="preserve"> (</w:t>
            </w:r>
            <w:r w:rsidR="00A66501">
              <w:rPr>
                <w:rFonts w:ascii="Calibri" w:eastAsia="Calibri" w:hAnsi="Calibri" w:cs="Calibri"/>
                <w:color w:val="0000FF"/>
              </w:rPr>
              <w:t>Byrne, Grimes, Jago-Byrne, Galvin, 2017; Hron, et al</w:t>
            </w:r>
            <w:r w:rsidR="00F61865">
              <w:rPr>
                <w:rFonts w:ascii="Calibri" w:eastAsia="Calibri" w:hAnsi="Calibri" w:cs="Calibri"/>
                <w:color w:val="0000FF"/>
              </w:rPr>
              <w:t>, 2015</w:t>
            </w:r>
            <w:r w:rsidR="00A66501">
              <w:rPr>
                <w:rFonts w:ascii="Calibri" w:eastAsia="Calibri" w:hAnsi="Calibri" w:cs="Calibri"/>
                <w:color w:val="0000FF"/>
              </w:rPr>
              <w:t xml:space="preserve">; </w:t>
            </w:r>
            <w:r w:rsidR="00A66501" w:rsidRPr="00A13022">
              <w:rPr>
                <w:rFonts w:ascii="Calibri" w:eastAsia="Calibri" w:hAnsi="Calibri" w:cs="Calibri"/>
                <w:color w:val="0000FF"/>
              </w:rPr>
              <w:t>Sherr</w:t>
            </w:r>
            <w:r w:rsidR="00A66501">
              <w:rPr>
                <w:rFonts w:ascii="Calibri" w:eastAsia="Calibri" w:hAnsi="Calibri" w:cs="Calibri"/>
                <w:color w:val="0000FF"/>
              </w:rPr>
              <w:t xml:space="preserve">, et al, 2011; </w:t>
            </w:r>
            <w:r w:rsidR="00A66501" w:rsidRPr="00A13022">
              <w:rPr>
                <w:rFonts w:ascii="Calibri" w:eastAsia="Calibri" w:hAnsi="Calibri" w:cs="Calibri"/>
                <w:color w:val="0000FF"/>
              </w:rPr>
              <w:t>Gimenez-Manzorro</w:t>
            </w:r>
            <w:r w:rsidR="00A66501">
              <w:rPr>
                <w:rFonts w:ascii="Calibri" w:eastAsia="Calibri" w:hAnsi="Calibri" w:cs="Calibri"/>
                <w:color w:val="0000FF"/>
              </w:rPr>
              <w:t>, et al, 2015; Curatolo, Gutermann, Devaquet, Roy, Rieutord, et al,2015;</w:t>
            </w:r>
            <w:r w:rsidR="00E76C24">
              <w:rPr>
                <w:rFonts w:ascii="Calibri" w:eastAsia="Calibri" w:hAnsi="Calibri" w:cs="Calibri"/>
                <w:color w:val="0000FF"/>
              </w:rPr>
              <w:t xml:space="preserve"> Leguelinel-Blache</w:t>
            </w:r>
            <w:r w:rsidR="00E76C24" w:rsidRPr="00A13022">
              <w:rPr>
                <w:rFonts w:ascii="Calibri" w:eastAsia="Calibri" w:hAnsi="Calibri" w:cs="Calibri"/>
                <w:color w:val="0000FF"/>
              </w:rPr>
              <w:t>, et al</w:t>
            </w:r>
            <w:r w:rsidR="00E76C24">
              <w:rPr>
                <w:rFonts w:ascii="Calibri" w:eastAsia="Calibri" w:hAnsi="Calibri" w:cs="Calibri"/>
                <w:color w:val="0000FF"/>
              </w:rPr>
              <w:t xml:space="preserve">, 2014; </w:t>
            </w:r>
            <w:r w:rsidR="00E76C24" w:rsidRPr="00A13022">
              <w:rPr>
                <w:rFonts w:ascii="Calibri" w:eastAsia="Calibri" w:hAnsi="Calibri" w:cs="Calibri"/>
                <w:color w:val="0000FF"/>
              </w:rPr>
              <w:t>Andreoli</w:t>
            </w:r>
            <w:r w:rsidR="00E76C24">
              <w:rPr>
                <w:rFonts w:ascii="Calibri" w:eastAsia="Calibri" w:hAnsi="Calibri" w:cs="Calibri"/>
                <w:color w:val="0000FF"/>
              </w:rPr>
              <w:t xml:space="preserve">, et al, 2014; </w:t>
            </w:r>
            <w:r w:rsidR="00E76C24" w:rsidRPr="00A13022">
              <w:rPr>
                <w:rFonts w:ascii="Calibri" w:eastAsia="Calibri" w:hAnsi="Calibri" w:cs="Calibri"/>
                <w:color w:val="0000FF"/>
              </w:rPr>
              <w:t>Grimes</w:t>
            </w:r>
            <w:r w:rsidR="00E76C24">
              <w:rPr>
                <w:rFonts w:ascii="Calibri" w:eastAsia="Calibri" w:hAnsi="Calibri" w:cs="Calibri"/>
                <w:color w:val="0000FF"/>
              </w:rPr>
              <w:t xml:space="preserve">, et al, 2014; </w:t>
            </w:r>
            <w:r w:rsidR="00B34C03">
              <w:rPr>
                <w:rFonts w:ascii="Calibri" w:eastAsia="Calibri" w:hAnsi="Calibri" w:cs="Calibri"/>
                <w:color w:val="0000FF"/>
              </w:rPr>
              <w:t>Lea, Barstad, Mathiesen, Mowe</w:t>
            </w:r>
            <w:r w:rsidR="00B34C03" w:rsidRPr="00A13022">
              <w:rPr>
                <w:rFonts w:ascii="Calibri" w:eastAsia="Calibri" w:hAnsi="Calibri" w:cs="Calibri"/>
                <w:color w:val="0000FF"/>
              </w:rPr>
              <w:t>, Molden</w:t>
            </w:r>
            <w:r w:rsidR="00B34C03">
              <w:rPr>
                <w:rFonts w:ascii="Calibri" w:eastAsia="Calibri" w:hAnsi="Calibri" w:cs="Calibri"/>
                <w:color w:val="0000FF"/>
              </w:rPr>
              <w:t xml:space="preserve">, 2016; Becerra-Camargo, Martinez-Martinez, Garcia-Jimenez, 2013; </w:t>
            </w:r>
            <w:r w:rsidR="00B34C03" w:rsidRPr="00A13022">
              <w:rPr>
                <w:rFonts w:ascii="Calibri" w:eastAsia="Calibri" w:hAnsi="Calibri" w:cs="Calibri"/>
                <w:color w:val="0000FF"/>
              </w:rPr>
              <w:t>Cater, et al</w:t>
            </w:r>
            <w:r w:rsidR="00B34C03">
              <w:rPr>
                <w:rFonts w:ascii="Calibri" w:eastAsia="Calibri" w:hAnsi="Calibri" w:cs="Calibri"/>
                <w:color w:val="0000FF"/>
              </w:rPr>
              <w:t>, 2013; Wang, Biederman, 2012; van den Bemt, van der Schrieck-de Loos, van der Linden</w:t>
            </w:r>
            <w:r w:rsidR="00B34C03" w:rsidRPr="00A13022">
              <w:rPr>
                <w:rFonts w:ascii="Calibri" w:eastAsia="Calibri" w:hAnsi="Calibri" w:cs="Calibri"/>
                <w:color w:val="0000FF"/>
              </w:rPr>
              <w:t xml:space="preserve">, </w:t>
            </w:r>
            <w:r w:rsidR="00B34C03">
              <w:rPr>
                <w:rFonts w:ascii="Calibri" w:eastAsia="Calibri" w:hAnsi="Calibri" w:cs="Calibri"/>
                <w:color w:val="0000FF"/>
              </w:rPr>
              <w:t>Theeuwes</w:t>
            </w:r>
            <w:r w:rsidR="00B34C03" w:rsidRPr="00A13022">
              <w:rPr>
                <w:rFonts w:ascii="Calibri" w:eastAsia="Calibri" w:hAnsi="Calibri" w:cs="Calibri"/>
                <w:color w:val="0000FF"/>
              </w:rPr>
              <w:t>, Pol AG</w:t>
            </w:r>
            <w:r w:rsidR="00B34C03">
              <w:rPr>
                <w:rFonts w:ascii="Calibri" w:eastAsia="Calibri" w:hAnsi="Calibri" w:cs="Calibri"/>
                <w:color w:val="0000FF"/>
              </w:rPr>
              <w:t>, 2013</w:t>
            </w:r>
            <w:r w:rsidR="00F61865">
              <w:rPr>
                <w:rFonts w:ascii="Calibri" w:eastAsia="Calibri" w:hAnsi="Calibri" w:cs="Calibri"/>
                <w:color w:val="0000FF"/>
              </w:rPr>
              <w:t xml:space="preserve">), </w:t>
            </w:r>
            <w:r>
              <w:rPr>
                <w:rFonts w:ascii="Calibri" w:eastAsia="Calibri" w:hAnsi="Calibri" w:cs="Calibri"/>
                <w:color w:val="0000FF"/>
              </w:rPr>
              <w:t>potential adverse drug events (</w:t>
            </w:r>
            <w:r w:rsidR="00023B65">
              <w:rPr>
                <w:rFonts w:ascii="Calibri" w:eastAsia="Calibri" w:hAnsi="Calibri" w:cs="Calibri"/>
                <w:color w:val="0000FF"/>
              </w:rPr>
              <w:t>2</w:t>
            </w:r>
            <w:r>
              <w:rPr>
                <w:rFonts w:ascii="Calibri" w:eastAsia="Calibri" w:hAnsi="Calibri" w:cs="Calibri"/>
                <w:color w:val="0000FF"/>
              </w:rPr>
              <w:t>/</w:t>
            </w:r>
            <w:r w:rsidR="00023B65">
              <w:rPr>
                <w:rFonts w:ascii="Calibri" w:eastAsia="Calibri" w:hAnsi="Calibri" w:cs="Calibri"/>
                <w:color w:val="0000FF"/>
              </w:rPr>
              <w:t>3</w:t>
            </w:r>
            <w:r>
              <w:rPr>
                <w:rFonts w:ascii="Calibri" w:eastAsia="Calibri" w:hAnsi="Calibri" w:cs="Calibri"/>
                <w:color w:val="0000FF"/>
              </w:rPr>
              <w:t xml:space="preserve"> studies)</w:t>
            </w:r>
            <w:r w:rsidR="00472414">
              <w:rPr>
                <w:rFonts w:ascii="Calibri" w:eastAsia="Calibri" w:hAnsi="Calibri" w:cs="Calibri"/>
                <w:color w:val="0000FF"/>
              </w:rPr>
              <w:t xml:space="preserve"> )</w:t>
            </w:r>
            <w:r w:rsidR="00472414" w:rsidRPr="00A13022">
              <w:rPr>
                <w:rFonts w:ascii="Calibri" w:eastAsia="Calibri" w:hAnsi="Calibri" w:cs="Calibri"/>
                <w:color w:val="0000FF"/>
              </w:rPr>
              <w:t xml:space="preserve"> Grimes</w:t>
            </w:r>
            <w:r w:rsidR="00472414">
              <w:rPr>
                <w:rFonts w:ascii="Calibri" w:eastAsia="Calibri" w:hAnsi="Calibri" w:cs="Calibri"/>
                <w:color w:val="0000FF"/>
              </w:rPr>
              <w:t xml:space="preserve">, et al, 2014; </w:t>
            </w:r>
            <w:r w:rsidR="00601B98">
              <w:rPr>
                <w:rFonts w:ascii="Calibri" w:eastAsia="Calibri" w:hAnsi="Calibri" w:cs="Calibri"/>
                <w:color w:val="0000FF"/>
              </w:rPr>
              <w:t>Wang, Biederman, 2012; Becerra-Camargo, Martinez-Martinez, Garcia-Jimenez</w:t>
            </w:r>
            <w:r>
              <w:rPr>
                <w:rFonts w:ascii="Calibri" w:eastAsia="Calibri" w:hAnsi="Calibri" w:cs="Calibri"/>
                <w:color w:val="0000FF"/>
              </w:rPr>
              <w:t xml:space="preserve">, </w:t>
            </w:r>
            <w:r w:rsidR="00601B98">
              <w:rPr>
                <w:rFonts w:ascii="Calibri" w:eastAsia="Calibri" w:hAnsi="Calibri" w:cs="Calibri"/>
                <w:color w:val="0000FF"/>
              </w:rPr>
              <w:t xml:space="preserve">2014) </w:t>
            </w:r>
            <w:r>
              <w:rPr>
                <w:rFonts w:ascii="Calibri" w:eastAsia="Calibri" w:hAnsi="Calibri" w:cs="Calibri"/>
                <w:color w:val="0000FF"/>
              </w:rPr>
              <w:t>and adverse drug events (</w:t>
            </w:r>
            <w:r w:rsidR="00CD0DE5">
              <w:rPr>
                <w:rFonts w:ascii="Calibri" w:eastAsia="Calibri" w:hAnsi="Calibri" w:cs="Calibri"/>
                <w:color w:val="0000FF"/>
              </w:rPr>
              <w:t>3/</w:t>
            </w:r>
            <w:r w:rsidR="00C37CB5">
              <w:rPr>
                <w:rFonts w:ascii="Calibri" w:eastAsia="Calibri" w:hAnsi="Calibri" w:cs="Calibri"/>
                <w:color w:val="0000FF"/>
              </w:rPr>
              <w:t>3</w:t>
            </w:r>
            <w:r>
              <w:rPr>
                <w:rFonts w:ascii="Calibri" w:eastAsia="Calibri" w:hAnsi="Calibri" w:cs="Calibri"/>
                <w:color w:val="0000FF"/>
              </w:rPr>
              <w:t xml:space="preserve"> studies)</w:t>
            </w:r>
            <w:r w:rsidR="00601B98">
              <w:rPr>
                <w:rFonts w:ascii="Calibri" w:eastAsia="Calibri" w:hAnsi="Calibri" w:cs="Calibri"/>
                <w:color w:val="0000FF"/>
              </w:rPr>
              <w:t xml:space="preserve"> (Hron, et al, 2015;</w:t>
            </w:r>
            <w:r w:rsidR="003C6B78">
              <w:rPr>
                <w:rFonts w:ascii="Calibri" w:eastAsia="Calibri" w:hAnsi="Calibri" w:cs="Calibri"/>
                <w:color w:val="0000FF"/>
              </w:rPr>
              <w:t xml:space="preserve"> Khalil, deClifford, Lam, Subramaniam, 2016; Mergenhagen, Blum, Kugler</w:t>
            </w:r>
            <w:r w:rsidR="003C6B78" w:rsidRPr="00A13022">
              <w:rPr>
                <w:rFonts w:ascii="Calibri" w:eastAsia="Calibri" w:hAnsi="Calibri" w:cs="Calibri"/>
                <w:color w:val="0000FF"/>
              </w:rPr>
              <w:t>, et al</w:t>
            </w:r>
            <w:r w:rsidR="003C6B78">
              <w:rPr>
                <w:rFonts w:ascii="Calibri" w:eastAsia="Calibri" w:hAnsi="Calibri" w:cs="Calibri"/>
                <w:color w:val="0000FF"/>
              </w:rPr>
              <w:t>, 2016)</w:t>
            </w:r>
            <w:r>
              <w:rPr>
                <w:rFonts w:ascii="Calibri" w:eastAsia="Calibri" w:hAnsi="Calibri" w:cs="Calibri"/>
                <w:color w:val="0000FF"/>
              </w:rPr>
              <w:t xml:space="preserve"> in </w:t>
            </w:r>
            <w:r w:rsidR="00A13022">
              <w:rPr>
                <w:rFonts w:ascii="Calibri" w:eastAsia="Calibri" w:hAnsi="Calibri" w:cs="Calibri"/>
                <w:color w:val="0000FF"/>
              </w:rPr>
              <w:t>inpatient settings</w:t>
            </w:r>
            <w:r>
              <w:rPr>
                <w:rFonts w:ascii="Calibri" w:eastAsia="Calibri" w:hAnsi="Calibri" w:cs="Calibri"/>
                <w:color w:val="0000FF"/>
              </w:rPr>
              <w:t>.</w:t>
            </w:r>
            <w:r w:rsidR="00342361">
              <w:rPr>
                <w:rFonts w:ascii="Calibri" w:eastAsia="Calibri" w:hAnsi="Calibri" w:cs="Calibri"/>
                <w:color w:val="0000FF"/>
              </w:rPr>
              <w:t xml:space="preserve"> </w:t>
            </w:r>
          </w:p>
          <w:p w14:paraId="5A70384B" w14:textId="0188565B" w:rsidR="00342361" w:rsidRDefault="00342361" w:rsidP="007B6435">
            <w:pPr>
              <w:ind w:left="0" w:firstLine="0"/>
              <w:rPr>
                <w:rFonts w:ascii="Calibri" w:eastAsia="Calibri" w:hAnsi="Calibri" w:cs="Calibri"/>
                <w:color w:val="0000FF"/>
              </w:rPr>
            </w:pPr>
          </w:p>
          <w:p w14:paraId="33E0F825" w14:textId="4E39A0FF" w:rsidR="007B6435" w:rsidRDefault="00515ECB" w:rsidP="007B6435">
            <w:pPr>
              <w:ind w:left="0" w:firstLine="0"/>
              <w:rPr>
                <w:rFonts w:ascii="Calibri" w:eastAsia="Calibri" w:hAnsi="Calibri" w:cs="Calibri"/>
                <w:color w:val="0000FF"/>
              </w:rPr>
            </w:pPr>
            <w:r>
              <w:rPr>
                <w:rFonts w:ascii="Calibri" w:eastAsia="Calibri" w:hAnsi="Calibri" w:cs="Calibri"/>
                <w:color w:val="0000FF"/>
              </w:rPr>
              <w:t xml:space="preserve">The </w:t>
            </w:r>
            <w:r w:rsidR="00CD0DE5">
              <w:rPr>
                <w:rFonts w:ascii="Calibri" w:eastAsia="Calibri" w:hAnsi="Calibri" w:cs="Calibri"/>
                <w:color w:val="0000FF"/>
              </w:rPr>
              <w:t>five</w:t>
            </w:r>
            <w:r w:rsidR="008877D7">
              <w:rPr>
                <w:rFonts w:ascii="Calibri" w:eastAsia="Calibri" w:hAnsi="Calibri" w:cs="Calibri"/>
                <w:color w:val="0000FF"/>
              </w:rPr>
              <w:t xml:space="preserve"> studies </w:t>
            </w:r>
            <w:r>
              <w:rPr>
                <w:rFonts w:ascii="Calibri" w:eastAsia="Calibri" w:hAnsi="Calibri" w:cs="Calibri"/>
                <w:color w:val="0000FF"/>
              </w:rPr>
              <w:t xml:space="preserve">that </w:t>
            </w:r>
            <w:r w:rsidR="008877D7">
              <w:rPr>
                <w:rFonts w:ascii="Calibri" w:eastAsia="Calibri" w:hAnsi="Calibri" w:cs="Calibri"/>
                <w:color w:val="0000FF"/>
              </w:rPr>
              <w:t>evaluated</w:t>
            </w:r>
            <w:r>
              <w:rPr>
                <w:rFonts w:ascii="Calibri" w:eastAsia="Calibri" w:hAnsi="Calibri" w:cs="Calibri"/>
                <w:color w:val="0000FF"/>
              </w:rPr>
              <w:t xml:space="preserve"> the</w:t>
            </w:r>
            <w:r w:rsidR="008877D7">
              <w:rPr>
                <w:rFonts w:ascii="Calibri" w:eastAsia="Calibri" w:hAnsi="Calibri" w:cs="Calibri"/>
                <w:color w:val="0000FF"/>
              </w:rPr>
              <w:t xml:space="preserve"> impact of medication reconciliation on reduction of ADEs</w:t>
            </w:r>
            <w:r w:rsidR="000B4AC0">
              <w:rPr>
                <w:rFonts w:ascii="Calibri" w:eastAsia="Calibri" w:hAnsi="Calibri" w:cs="Calibri"/>
                <w:color w:val="0000FF"/>
              </w:rPr>
              <w:t xml:space="preserve"> among all studies identified from the systematic review and our complementary search</w:t>
            </w:r>
            <w:r w:rsidR="00342361" w:rsidRPr="00342361">
              <w:rPr>
                <w:rFonts w:ascii="Calibri" w:eastAsia="Calibri" w:hAnsi="Calibri" w:cs="Calibri"/>
                <w:color w:val="0000FF"/>
              </w:rPr>
              <w:t xml:space="preserve"> reported a mean reduction in ADE ra</w:t>
            </w:r>
            <w:r w:rsidR="00CD0DE5">
              <w:rPr>
                <w:rFonts w:ascii="Calibri" w:eastAsia="Calibri" w:hAnsi="Calibri" w:cs="Calibri"/>
                <w:color w:val="0000FF"/>
              </w:rPr>
              <w:t xml:space="preserve">tes </w:t>
            </w:r>
            <w:r>
              <w:rPr>
                <w:rFonts w:ascii="Calibri" w:eastAsia="Calibri" w:hAnsi="Calibri" w:cs="Calibri"/>
                <w:color w:val="0000FF"/>
              </w:rPr>
              <w:t xml:space="preserve">of </w:t>
            </w:r>
            <w:r w:rsidR="00342361" w:rsidRPr="00342361">
              <w:rPr>
                <w:rFonts w:ascii="Calibri" w:eastAsia="Calibri" w:hAnsi="Calibri" w:cs="Calibri"/>
                <w:color w:val="0000FF"/>
              </w:rPr>
              <w:t>74.0% with a range from 42.9% reduction to 90.9% reduction.</w:t>
            </w:r>
            <w:r w:rsidR="00601B98">
              <w:rPr>
                <w:rFonts w:ascii="Calibri" w:eastAsia="Calibri" w:hAnsi="Calibri" w:cs="Calibri"/>
                <w:color w:val="0000FF"/>
              </w:rPr>
              <w:t xml:space="preserve"> (Hron, et al, 2015; </w:t>
            </w:r>
            <w:r w:rsidR="005E13F5">
              <w:rPr>
                <w:rFonts w:ascii="Calibri" w:eastAsia="Calibri" w:hAnsi="Calibri" w:cs="Calibri"/>
                <w:color w:val="0000FF"/>
              </w:rPr>
              <w:t>Mergenhagen, Blum, Kugler</w:t>
            </w:r>
            <w:r w:rsidR="005E13F5" w:rsidRPr="00A13022">
              <w:rPr>
                <w:rFonts w:ascii="Calibri" w:eastAsia="Calibri" w:hAnsi="Calibri" w:cs="Calibri"/>
                <w:color w:val="0000FF"/>
              </w:rPr>
              <w:t>, et al</w:t>
            </w:r>
            <w:r w:rsidR="005E13F5">
              <w:rPr>
                <w:rFonts w:ascii="Calibri" w:eastAsia="Calibri" w:hAnsi="Calibri" w:cs="Calibri"/>
                <w:color w:val="0000FF"/>
              </w:rPr>
              <w:t xml:space="preserve">, 2016; </w:t>
            </w:r>
            <w:r w:rsidR="005E13F5" w:rsidRPr="00515ECB">
              <w:rPr>
                <w:rFonts w:ascii="Calibri" w:eastAsia="Calibri" w:hAnsi="Calibri" w:cs="Calibri"/>
                <w:color w:val="0000FF"/>
              </w:rPr>
              <w:t>Boockvar</w:t>
            </w:r>
            <w:r w:rsidR="005E13F5">
              <w:rPr>
                <w:rFonts w:ascii="Calibri" w:eastAsia="Calibri" w:hAnsi="Calibri" w:cs="Calibri"/>
                <w:color w:val="0000FF"/>
              </w:rPr>
              <w:t xml:space="preserve">, et al, 2011; </w:t>
            </w:r>
            <w:r w:rsidR="005E13F5" w:rsidRPr="00515ECB">
              <w:rPr>
                <w:rFonts w:ascii="Calibri" w:eastAsia="Calibri" w:hAnsi="Calibri" w:cs="Calibri"/>
                <w:color w:val="0000FF"/>
              </w:rPr>
              <w:t>Schnipper</w:t>
            </w:r>
            <w:r w:rsidR="005E13F5">
              <w:rPr>
                <w:rFonts w:ascii="Calibri" w:eastAsia="Calibri" w:hAnsi="Calibri" w:cs="Calibri"/>
                <w:color w:val="0000FF"/>
              </w:rPr>
              <w:t>, et al, 2006</w:t>
            </w:r>
            <w:r w:rsidR="00DF3ED1">
              <w:rPr>
                <w:rFonts w:ascii="Calibri" w:eastAsia="Calibri" w:hAnsi="Calibri" w:cs="Calibri"/>
                <w:color w:val="0000FF"/>
              </w:rPr>
              <w:t xml:space="preserve">) </w:t>
            </w:r>
            <w:r w:rsidR="008877D7">
              <w:rPr>
                <w:rFonts w:ascii="Calibri" w:eastAsia="Calibri" w:hAnsi="Calibri" w:cs="Calibri"/>
                <w:color w:val="0000FF"/>
              </w:rPr>
              <w:t>Two</w:t>
            </w:r>
            <w:r w:rsidR="000B4AC0">
              <w:rPr>
                <w:rFonts w:ascii="Calibri" w:eastAsia="Calibri" w:hAnsi="Calibri" w:cs="Calibri"/>
                <w:color w:val="0000FF"/>
              </w:rPr>
              <w:t xml:space="preserve"> of the five</w:t>
            </w:r>
            <w:r w:rsidR="008877D7">
              <w:rPr>
                <w:rFonts w:ascii="Calibri" w:eastAsia="Calibri" w:hAnsi="Calibri" w:cs="Calibri"/>
                <w:color w:val="0000FF"/>
              </w:rPr>
              <w:t xml:space="preserve"> </w:t>
            </w:r>
            <w:r w:rsidR="00342361" w:rsidRPr="00342361">
              <w:rPr>
                <w:rFonts w:ascii="Calibri" w:eastAsia="Calibri" w:hAnsi="Calibri" w:cs="Calibri"/>
                <w:color w:val="0000FF"/>
              </w:rPr>
              <w:t>studies also quantified the relative reduction in the odds of ADEs in patients exposed to medication reconciliation with odds ratios that ranged fro</w:t>
            </w:r>
            <w:r w:rsidR="00DF3ED1">
              <w:rPr>
                <w:rFonts w:ascii="Calibri" w:eastAsia="Calibri" w:hAnsi="Calibri" w:cs="Calibri"/>
                <w:color w:val="0000FF"/>
              </w:rPr>
              <w:t>m 0.38 to 0.57 (Mergenhagen, Blum, Kugler</w:t>
            </w:r>
            <w:r w:rsidR="00DF3ED1" w:rsidRPr="00A13022">
              <w:rPr>
                <w:rFonts w:ascii="Calibri" w:eastAsia="Calibri" w:hAnsi="Calibri" w:cs="Calibri"/>
                <w:color w:val="0000FF"/>
              </w:rPr>
              <w:t>, et al</w:t>
            </w:r>
            <w:r w:rsidR="00DF3ED1">
              <w:rPr>
                <w:rFonts w:ascii="Calibri" w:eastAsia="Calibri" w:hAnsi="Calibri" w:cs="Calibri"/>
                <w:color w:val="0000FF"/>
              </w:rPr>
              <w:t xml:space="preserve">, 2016; </w:t>
            </w:r>
            <w:r w:rsidR="00DF3ED1" w:rsidRPr="00515ECB">
              <w:rPr>
                <w:rFonts w:ascii="Calibri" w:eastAsia="Calibri" w:hAnsi="Calibri" w:cs="Calibri"/>
                <w:color w:val="0000FF"/>
              </w:rPr>
              <w:t>Boockvar</w:t>
            </w:r>
            <w:r w:rsidR="00DF3ED1">
              <w:rPr>
                <w:rFonts w:ascii="Calibri" w:eastAsia="Calibri" w:hAnsi="Calibri" w:cs="Calibri"/>
                <w:color w:val="0000FF"/>
              </w:rPr>
              <w:t>, et al, 2011).</w:t>
            </w:r>
          </w:p>
          <w:p w14:paraId="2FD60B6B" w14:textId="33A9B7BD" w:rsidR="000B4AC0" w:rsidRDefault="000B4AC0" w:rsidP="007B6435">
            <w:pPr>
              <w:ind w:left="0" w:firstLine="0"/>
              <w:rPr>
                <w:rFonts w:ascii="Calibri" w:eastAsia="Calibri" w:hAnsi="Calibri" w:cs="Calibri"/>
                <w:color w:val="0000FF"/>
              </w:rPr>
            </w:pPr>
          </w:p>
          <w:p w14:paraId="36810F16" w14:textId="155C0FAC" w:rsidR="00992086" w:rsidRDefault="000B4AC0" w:rsidP="005E262B">
            <w:pPr>
              <w:ind w:left="0" w:firstLine="0"/>
              <w:rPr>
                <w:rFonts w:ascii="Calibri" w:eastAsia="Calibri" w:hAnsi="Calibri" w:cs="Calibri"/>
                <w:color w:val="0000FF"/>
              </w:rPr>
            </w:pPr>
            <w:r>
              <w:rPr>
                <w:rFonts w:ascii="Calibri" w:eastAsia="Calibri" w:hAnsi="Calibri" w:cs="Calibri"/>
                <w:color w:val="0000FF"/>
              </w:rPr>
              <w:t>In addition, t</w:t>
            </w:r>
            <w:r w:rsidR="001B7CDD">
              <w:rPr>
                <w:rFonts w:ascii="Calibri" w:eastAsia="Calibri" w:hAnsi="Calibri" w:cs="Calibri"/>
                <w:color w:val="0000FF"/>
              </w:rPr>
              <w:t xml:space="preserve">o enhance the systematic review by Mueller et al., </w:t>
            </w:r>
            <w:r w:rsidR="00273201">
              <w:rPr>
                <w:rFonts w:ascii="Calibri" w:eastAsia="Calibri" w:hAnsi="Calibri" w:cs="Calibri"/>
                <w:color w:val="0000FF"/>
              </w:rPr>
              <w:t xml:space="preserve">we </w:t>
            </w:r>
            <w:r w:rsidR="001B7CDD">
              <w:rPr>
                <w:rFonts w:ascii="Calibri" w:eastAsia="Calibri" w:hAnsi="Calibri" w:cs="Calibri"/>
                <w:color w:val="0000FF"/>
              </w:rPr>
              <w:t>searched for</w:t>
            </w:r>
            <w:r w:rsidR="00273201">
              <w:rPr>
                <w:rFonts w:ascii="Calibri" w:eastAsia="Calibri" w:hAnsi="Calibri" w:cs="Calibri"/>
                <w:color w:val="0000FF"/>
              </w:rPr>
              <w:t xml:space="preserve"> studies which </w:t>
            </w:r>
            <w:r w:rsidR="00894491">
              <w:rPr>
                <w:rFonts w:ascii="Calibri" w:eastAsia="Calibri" w:hAnsi="Calibri" w:cs="Calibri"/>
                <w:color w:val="0000FF"/>
              </w:rPr>
              <w:t xml:space="preserve">showed any evidence of benefit from using </w:t>
            </w:r>
            <w:r w:rsidR="00C41326">
              <w:rPr>
                <w:rFonts w:ascii="Calibri" w:eastAsia="Calibri" w:hAnsi="Calibri" w:cs="Calibri"/>
                <w:color w:val="0000FF"/>
              </w:rPr>
              <w:t xml:space="preserve">medication reconciliation </w:t>
            </w:r>
            <w:r>
              <w:rPr>
                <w:rFonts w:ascii="Calibri" w:eastAsia="Calibri" w:hAnsi="Calibri" w:cs="Calibri"/>
                <w:color w:val="0000FF"/>
              </w:rPr>
              <w:t>at the time of admission t</w:t>
            </w:r>
            <w:r w:rsidR="00894491">
              <w:rPr>
                <w:rFonts w:ascii="Calibri" w:eastAsia="Calibri" w:hAnsi="Calibri" w:cs="Calibri"/>
                <w:color w:val="0000FF"/>
              </w:rPr>
              <w:t>o</w:t>
            </w:r>
            <w:r w:rsidR="00C41326">
              <w:rPr>
                <w:rFonts w:ascii="Calibri" w:eastAsia="Calibri" w:hAnsi="Calibri" w:cs="Calibri"/>
                <w:color w:val="0000FF"/>
              </w:rPr>
              <w:t xml:space="preserve"> IPFs. Using Pubmed, we searched</w:t>
            </w:r>
            <w:r w:rsidR="00E44CE9">
              <w:rPr>
                <w:rFonts w:ascii="Calibri" w:eastAsia="Calibri" w:hAnsi="Calibri" w:cs="Calibri"/>
                <w:color w:val="0000FF"/>
              </w:rPr>
              <w:t xml:space="preserve"> a Medical Subject Headings (MeSH) of </w:t>
            </w:r>
            <w:r w:rsidR="00C41326" w:rsidRPr="001B7CDD">
              <w:rPr>
                <w:rFonts w:ascii="Calibri" w:eastAsia="Calibri" w:hAnsi="Calibri" w:cs="Calibri"/>
                <w:i/>
                <w:color w:val="0000FF"/>
              </w:rPr>
              <w:t>medication reconciliation</w:t>
            </w:r>
            <w:r w:rsidR="00C41326" w:rsidRPr="00C41326">
              <w:rPr>
                <w:rFonts w:ascii="Calibri" w:eastAsia="Calibri" w:hAnsi="Calibri" w:cs="Calibri"/>
                <w:color w:val="0000FF"/>
              </w:rPr>
              <w:t xml:space="preserve">* AND (psychiatr* OR </w:t>
            </w:r>
            <w:r w:rsidR="00C41326" w:rsidRPr="00C41326">
              <w:rPr>
                <w:rFonts w:ascii="Calibri" w:eastAsia="Calibri" w:hAnsi="Calibri" w:cs="Calibri"/>
                <w:color w:val="0000FF"/>
              </w:rPr>
              <w:lastRenderedPageBreak/>
              <w:t>menta</w:t>
            </w:r>
            <w:r w:rsidR="00C41326">
              <w:rPr>
                <w:rFonts w:ascii="Calibri" w:eastAsia="Calibri" w:hAnsi="Calibri" w:cs="Calibri"/>
                <w:color w:val="0000FF"/>
              </w:rPr>
              <w:t>l</w:t>
            </w:r>
            <w:r w:rsidR="00C41326" w:rsidRPr="00C41326">
              <w:rPr>
                <w:rFonts w:ascii="Calibri" w:eastAsia="Calibri" w:hAnsi="Calibri" w:cs="Calibri"/>
                <w:color w:val="0000FF"/>
              </w:rPr>
              <w:t>)</w:t>
            </w:r>
            <w:r>
              <w:rPr>
                <w:rFonts w:ascii="Calibri" w:eastAsia="Calibri" w:hAnsi="Calibri" w:cs="Calibri"/>
                <w:color w:val="0000FF"/>
              </w:rPr>
              <w:t xml:space="preserve"> </w:t>
            </w:r>
            <w:r w:rsidR="001B7CDD">
              <w:rPr>
                <w:rFonts w:ascii="Calibri" w:eastAsia="Calibri" w:hAnsi="Calibri" w:cs="Calibri"/>
                <w:color w:val="0000FF"/>
              </w:rPr>
              <w:t>with no publish date requirement</w:t>
            </w:r>
            <w:r w:rsidR="00C41326">
              <w:rPr>
                <w:rFonts w:ascii="Calibri" w:eastAsia="Calibri" w:hAnsi="Calibri" w:cs="Calibri"/>
                <w:color w:val="0000FF"/>
              </w:rPr>
              <w:t>.</w:t>
            </w:r>
            <w:r w:rsidR="009B30DC">
              <w:rPr>
                <w:rFonts w:ascii="Calibri" w:eastAsia="Calibri" w:hAnsi="Calibri" w:cs="Calibri"/>
                <w:color w:val="0000FF"/>
              </w:rPr>
              <w:t xml:space="preserve"> We also manually searched the reference lists </w:t>
            </w:r>
            <w:r w:rsidR="00794EC2">
              <w:rPr>
                <w:rFonts w:ascii="Calibri" w:eastAsia="Calibri" w:hAnsi="Calibri" w:cs="Calibri"/>
                <w:color w:val="0000FF"/>
              </w:rPr>
              <w:t xml:space="preserve">of articles identified through this search </w:t>
            </w:r>
            <w:r w:rsidR="009B30DC">
              <w:rPr>
                <w:rFonts w:ascii="Calibri" w:eastAsia="Calibri" w:hAnsi="Calibri" w:cs="Calibri"/>
                <w:color w:val="0000FF"/>
              </w:rPr>
              <w:t xml:space="preserve">for </w:t>
            </w:r>
            <w:r w:rsidR="00794EC2">
              <w:rPr>
                <w:rFonts w:ascii="Calibri" w:eastAsia="Calibri" w:hAnsi="Calibri" w:cs="Calibri"/>
                <w:color w:val="0000FF"/>
              </w:rPr>
              <w:t xml:space="preserve">additional </w:t>
            </w:r>
            <w:r w:rsidR="009B30DC">
              <w:rPr>
                <w:rFonts w:ascii="Calibri" w:eastAsia="Calibri" w:hAnsi="Calibri" w:cs="Calibri"/>
                <w:color w:val="0000FF"/>
              </w:rPr>
              <w:t>relevant articles.</w:t>
            </w:r>
            <w:r w:rsidR="001B7CDD">
              <w:rPr>
                <w:rFonts w:ascii="Calibri" w:eastAsia="Calibri" w:hAnsi="Calibri" w:cs="Calibri"/>
                <w:color w:val="0000FF"/>
              </w:rPr>
              <w:t xml:space="preserve"> </w:t>
            </w:r>
            <w:r w:rsidR="006B3AF9">
              <w:rPr>
                <w:rFonts w:ascii="Calibri" w:eastAsia="Calibri" w:hAnsi="Calibri" w:cs="Calibri"/>
                <w:color w:val="0000FF"/>
              </w:rPr>
              <w:t xml:space="preserve">A total of </w:t>
            </w:r>
            <w:r w:rsidR="00E44CE9">
              <w:rPr>
                <w:rFonts w:ascii="Calibri" w:eastAsia="Calibri" w:hAnsi="Calibri" w:cs="Calibri"/>
                <w:color w:val="0000FF"/>
              </w:rPr>
              <w:t xml:space="preserve">24 studies </w:t>
            </w:r>
            <w:r w:rsidR="006B3AF9">
              <w:rPr>
                <w:rFonts w:ascii="Calibri" w:eastAsia="Calibri" w:hAnsi="Calibri" w:cs="Calibri"/>
                <w:color w:val="0000FF"/>
              </w:rPr>
              <w:t xml:space="preserve">were identified </w:t>
            </w:r>
            <w:r w:rsidR="009B30DC">
              <w:rPr>
                <w:rFonts w:ascii="Calibri" w:eastAsia="Calibri" w:hAnsi="Calibri" w:cs="Calibri"/>
                <w:color w:val="0000FF"/>
              </w:rPr>
              <w:t xml:space="preserve">via Mesh term search </w:t>
            </w:r>
            <w:r w:rsidR="006B3AF9">
              <w:rPr>
                <w:rFonts w:ascii="Calibri" w:eastAsia="Calibri" w:hAnsi="Calibri" w:cs="Calibri"/>
                <w:color w:val="0000FF"/>
              </w:rPr>
              <w:t xml:space="preserve">and 2 studies were considered as relevant via initial independent assessment of </w:t>
            </w:r>
            <w:r w:rsidR="001B7CDD">
              <w:rPr>
                <w:rFonts w:ascii="Calibri" w:eastAsia="Calibri" w:hAnsi="Calibri" w:cs="Calibri"/>
                <w:color w:val="0000FF"/>
              </w:rPr>
              <w:t xml:space="preserve">titles and subsequent examination of abstracts with or without full-test review. </w:t>
            </w:r>
            <w:r w:rsidR="009B30DC">
              <w:rPr>
                <w:rFonts w:ascii="Calibri" w:eastAsia="Calibri" w:hAnsi="Calibri" w:cs="Calibri"/>
                <w:color w:val="0000FF"/>
              </w:rPr>
              <w:t xml:space="preserve">We identified 2 additional </w:t>
            </w:r>
            <w:r>
              <w:rPr>
                <w:rFonts w:ascii="Calibri" w:eastAsia="Calibri" w:hAnsi="Calibri" w:cs="Calibri"/>
                <w:color w:val="0000FF"/>
              </w:rPr>
              <w:t xml:space="preserve">relevant </w:t>
            </w:r>
            <w:r w:rsidR="009B30DC">
              <w:rPr>
                <w:rFonts w:ascii="Calibri" w:eastAsia="Calibri" w:hAnsi="Calibri" w:cs="Calibri"/>
                <w:color w:val="0000FF"/>
              </w:rPr>
              <w:t>articles via the manual literature searc</w:t>
            </w:r>
            <w:r>
              <w:rPr>
                <w:rFonts w:ascii="Calibri" w:eastAsia="Calibri" w:hAnsi="Calibri" w:cs="Calibri"/>
                <w:color w:val="0000FF"/>
              </w:rPr>
              <w:t>h</w:t>
            </w:r>
            <w:r w:rsidR="00376FE8">
              <w:rPr>
                <w:rFonts w:ascii="Calibri" w:eastAsia="Calibri" w:hAnsi="Calibri" w:cs="Calibri"/>
                <w:color w:val="0000FF"/>
              </w:rPr>
              <w:t>,</w:t>
            </w:r>
            <w:r>
              <w:rPr>
                <w:rFonts w:ascii="Calibri" w:eastAsia="Calibri" w:hAnsi="Calibri" w:cs="Calibri"/>
                <w:color w:val="0000FF"/>
              </w:rPr>
              <w:t xml:space="preserve"> resulting in </w:t>
            </w:r>
            <w:r w:rsidR="009065F9">
              <w:rPr>
                <w:rFonts w:ascii="Calibri" w:eastAsia="Calibri" w:hAnsi="Calibri" w:cs="Calibri"/>
                <w:color w:val="0000FF"/>
              </w:rPr>
              <w:t xml:space="preserve">a </w:t>
            </w:r>
            <w:r>
              <w:rPr>
                <w:rFonts w:ascii="Calibri" w:eastAsia="Calibri" w:hAnsi="Calibri" w:cs="Calibri"/>
                <w:color w:val="0000FF"/>
              </w:rPr>
              <w:t>total of 4 studies</w:t>
            </w:r>
            <w:r w:rsidR="00376FE8">
              <w:rPr>
                <w:rFonts w:ascii="Calibri" w:eastAsia="Calibri" w:hAnsi="Calibri" w:cs="Calibri"/>
                <w:color w:val="0000FF"/>
              </w:rPr>
              <w:t xml:space="preserve"> focusing on medication reconciliation in</w:t>
            </w:r>
            <w:r>
              <w:rPr>
                <w:rFonts w:ascii="Calibri" w:eastAsia="Calibri" w:hAnsi="Calibri" w:cs="Calibri"/>
                <w:color w:val="0000FF"/>
              </w:rPr>
              <w:t xml:space="preserve"> the IPF setting. While none of the </w:t>
            </w:r>
            <w:r w:rsidR="00376FE8">
              <w:rPr>
                <w:rFonts w:ascii="Calibri" w:eastAsia="Calibri" w:hAnsi="Calibri" w:cs="Calibri"/>
                <w:color w:val="0000FF"/>
              </w:rPr>
              <w:t xml:space="preserve">studies </w:t>
            </w:r>
            <w:r w:rsidR="009065F9">
              <w:rPr>
                <w:rFonts w:ascii="Calibri" w:eastAsia="Calibri" w:hAnsi="Calibri" w:cs="Calibri"/>
                <w:color w:val="0000FF"/>
              </w:rPr>
              <w:t>provided</w:t>
            </w:r>
            <w:r>
              <w:rPr>
                <w:rFonts w:ascii="Calibri" w:eastAsia="Calibri" w:hAnsi="Calibri" w:cs="Calibri"/>
                <w:color w:val="0000FF"/>
              </w:rPr>
              <w:t xml:space="preserve"> evidence that medication reconciliation ha</w:t>
            </w:r>
            <w:r w:rsidR="009065F9">
              <w:rPr>
                <w:rFonts w:ascii="Calibri" w:eastAsia="Calibri" w:hAnsi="Calibri" w:cs="Calibri"/>
                <w:color w:val="0000FF"/>
              </w:rPr>
              <w:t>d a</w:t>
            </w:r>
            <w:r>
              <w:rPr>
                <w:rFonts w:ascii="Calibri" w:eastAsia="Calibri" w:hAnsi="Calibri" w:cs="Calibri"/>
                <w:color w:val="0000FF"/>
              </w:rPr>
              <w:t xml:space="preserve"> </w:t>
            </w:r>
            <w:r w:rsidR="00376FE8">
              <w:rPr>
                <w:rFonts w:ascii="Calibri" w:eastAsia="Calibri" w:hAnsi="Calibri" w:cs="Calibri"/>
                <w:color w:val="0000FF"/>
              </w:rPr>
              <w:t xml:space="preserve">direct </w:t>
            </w:r>
            <w:r>
              <w:rPr>
                <w:rFonts w:ascii="Calibri" w:eastAsia="Calibri" w:hAnsi="Calibri" w:cs="Calibri"/>
                <w:color w:val="0000FF"/>
              </w:rPr>
              <w:t xml:space="preserve">impact on improved patient outcome, </w:t>
            </w:r>
            <w:r w:rsidR="00376FE8">
              <w:rPr>
                <w:rFonts w:ascii="Calibri" w:eastAsia="Calibri" w:hAnsi="Calibri" w:cs="Calibri"/>
                <w:color w:val="0000FF"/>
              </w:rPr>
              <w:t>they consistently showed that medication reconciliation improved the medication discrepancy detection,</w:t>
            </w:r>
            <w:r w:rsidR="00C37CB5">
              <w:rPr>
                <w:rFonts w:ascii="Calibri" w:eastAsia="Calibri" w:hAnsi="Calibri" w:cs="Calibri"/>
                <w:color w:val="0000FF"/>
              </w:rPr>
              <w:t xml:space="preserve"> demonstrating its </w:t>
            </w:r>
            <w:r w:rsidR="00376FE8">
              <w:rPr>
                <w:rFonts w:ascii="Calibri" w:eastAsia="Calibri" w:hAnsi="Calibri" w:cs="Calibri"/>
                <w:color w:val="0000FF"/>
              </w:rPr>
              <w:t xml:space="preserve">potential </w:t>
            </w:r>
            <w:r w:rsidR="00C37CB5">
              <w:rPr>
                <w:rFonts w:ascii="Calibri" w:eastAsia="Calibri" w:hAnsi="Calibri" w:cs="Calibri"/>
                <w:color w:val="0000FF"/>
              </w:rPr>
              <w:t>to reduce</w:t>
            </w:r>
            <w:r w:rsidR="00376FE8">
              <w:rPr>
                <w:rFonts w:ascii="Calibri" w:eastAsia="Calibri" w:hAnsi="Calibri" w:cs="Calibri"/>
                <w:color w:val="0000FF"/>
              </w:rPr>
              <w:t xml:space="preserve"> ADEs and ultimately impr</w:t>
            </w:r>
            <w:r w:rsidR="00C37CB5">
              <w:rPr>
                <w:rFonts w:ascii="Calibri" w:eastAsia="Calibri" w:hAnsi="Calibri" w:cs="Calibri"/>
                <w:color w:val="0000FF"/>
              </w:rPr>
              <w:t>ove</w:t>
            </w:r>
            <w:r w:rsidR="00376FE8">
              <w:rPr>
                <w:rFonts w:ascii="Calibri" w:eastAsia="Calibri" w:hAnsi="Calibri" w:cs="Calibri"/>
                <w:color w:val="0000FF"/>
              </w:rPr>
              <w:t xml:space="preserve"> patient outcomes. </w:t>
            </w:r>
            <w:r w:rsidR="009B30DC" w:rsidRPr="00252E7B">
              <w:rPr>
                <w:rFonts w:ascii="Calibri" w:eastAsia="Calibri" w:hAnsi="Calibri" w:cs="Calibri"/>
                <w:color w:val="0000FF"/>
              </w:rPr>
              <w:t xml:space="preserve">According to a multicenter study in three psychiatric facilities, medication discrepancies identified at admission were five times more likely to be associated with potential ADEs than medication discrepancies identified </w:t>
            </w:r>
            <w:r w:rsidR="00CD0DE5">
              <w:rPr>
                <w:rFonts w:ascii="Calibri" w:eastAsia="Calibri" w:hAnsi="Calibri" w:cs="Calibri"/>
                <w:color w:val="0000FF"/>
              </w:rPr>
              <w:t>during transitions</w:t>
            </w:r>
            <w:r w:rsidR="009B30DC" w:rsidRPr="00252E7B">
              <w:rPr>
                <w:rFonts w:ascii="Calibri" w:eastAsia="Calibri" w:hAnsi="Calibri" w:cs="Calibri"/>
                <w:color w:val="0000FF"/>
              </w:rPr>
              <w:t xml:space="preserve"> or at discharge </w:t>
            </w:r>
            <w:r w:rsidR="009B30DC">
              <w:rPr>
                <w:rFonts w:ascii="Calibri" w:eastAsia="Calibri" w:hAnsi="Calibri" w:cs="Calibri"/>
                <w:color w:val="0000FF"/>
              </w:rPr>
              <w:t>(OR 5.39 95% CI: 2.72 - 10.69)</w:t>
            </w:r>
            <w:r w:rsidR="005E13F5">
              <w:rPr>
                <w:rFonts w:ascii="Calibri" w:eastAsia="Calibri" w:hAnsi="Calibri" w:cs="Calibri"/>
                <w:color w:val="0000FF"/>
              </w:rPr>
              <w:t xml:space="preserve"> (</w:t>
            </w:r>
            <w:r w:rsidR="005E13F5" w:rsidRPr="00FF780D">
              <w:rPr>
                <w:rFonts w:ascii="Calibri" w:eastAsia="Calibri" w:hAnsi="Calibri" w:cs="Calibri"/>
                <w:color w:val="0000FF"/>
              </w:rPr>
              <w:t>Keers</w:t>
            </w:r>
            <w:r w:rsidR="005E13F5">
              <w:rPr>
                <w:rFonts w:ascii="Calibri" w:eastAsia="Calibri" w:hAnsi="Calibri" w:cs="Calibri"/>
                <w:color w:val="0000FF"/>
              </w:rPr>
              <w:t xml:space="preserve">, et al, </w:t>
            </w:r>
            <w:r w:rsidR="005E13F5" w:rsidRPr="005E13F5">
              <w:rPr>
                <w:rFonts w:ascii="Calibri" w:eastAsia="Calibri" w:hAnsi="Calibri" w:cs="Calibri"/>
                <w:color w:val="0000FF"/>
              </w:rPr>
              <w:t>2014)</w:t>
            </w:r>
            <w:r w:rsidR="009B30DC" w:rsidRPr="005E13F5">
              <w:rPr>
                <w:rFonts w:ascii="Calibri" w:eastAsia="Calibri" w:hAnsi="Calibri" w:cs="Calibri"/>
                <w:color w:val="0000FF"/>
              </w:rPr>
              <w:t>.</w:t>
            </w:r>
            <w:r w:rsidR="005E13F5" w:rsidRPr="005E13F5">
              <w:rPr>
                <w:rFonts w:ascii="Calibri" w:eastAsia="Calibri" w:hAnsi="Calibri" w:cs="Calibri"/>
                <w:color w:val="0000FF"/>
                <w:vertAlign w:val="superscript"/>
              </w:rPr>
              <w:t xml:space="preserve"> </w:t>
            </w:r>
            <w:r w:rsidR="009B30DC" w:rsidRPr="005E13F5">
              <w:rPr>
                <w:rFonts w:ascii="Calibri" w:eastAsia="Calibri" w:hAnsi="Calibri" w:cs="Calibri"/>
                <w:color w:val="0000FF"/>
              </w:rPr>
              <w:t>A</w:t>
            </w:r>
            <w:r w:rsidR="009B30DC" w:rsidRPr="00252E7B">
              <w:rPr>
                <w:rFonts w:ascii="Calibri" w:eastAsia="Calibri" w:hAnsi="Calibri" w:cs="Calibri"/>
                <w:color w:val="0000FF"/>
              </w:rPr>
              <w:t xml:space="preserve"> study conducted in the United Kingdom involving multiple psychiatric hospitals found that discrepancies can include omission of PTA medications</w:t>
            </w:r>
            <w:r w:rsidR="00947484">
              <w:rPr>
                <w:rFonts w:ascii="Calibri" w:eastAsia="Calibri" w:hAnsi="Calibri" w:cs="Calibri"/>
                <w:color w:val="0000FF"/>
              </w:rPr>
              <w:t xml:space="preserve"> (</w:t>
            </w:r>
            <w:r w:rsidR="00947484" w:rsidRPr="00FF780D">
              <w:rPr>
                <w:rFonts w:ascii="Calibri" w:eastAsia="Calibri" w:hAnsi="Calibri" w:cs="Calibri"/>
                <w:color w:val="0000FF"/>
              </w:rPr>
              <w:t>Paton</w:t>
            </w:r>
            <w:r w:rsidR="00947484">
              <w:rPr>
                <w:rFonts w:ascii="Calibri" w:eastAsia="Calibri" w:hAnsi="Calibri" w:cs="Calibri"/>
                <w:color w:val="0000FF"/>
              </w:rPr>
              <w:t xml:space="preserve">, et al, 2011). </w:t>
            </w:r>
            <w:r w:rsidR="009B30DC" w:rsidRPr="00252E7B">
              <w:rPr>
                <w:rFonts w:ascii="Calibri" w:eastAsia="Calibri" w:hAnsi="Calibri" w:cs="Calibri"/>
                <w:color w:val="0000FF"/>
              </w:rPr>
              <w:t xml:space="preserve">Omitted medications such as depot antipsychotics, anti-epileptics, and other medications to treat comorbid medical conditions can cause serious ADEs if not continued during the inpatient stay. </w:t>
            </w:r>
            <w:r w:rsidR="00CD0DE5" w:rsidRPr="00992086">
              <w:rPr>
                <w:rFonts w:ascii="Calibri" w:eastAsia="Calibri" w:hAnsi="Calibri" w:cs="Calibri"/>
                <w:color w:val="0000FF"/>
              </w:rPr>
              <w:t xml:space="preserve">Several studies have quantified the number of discrepancies with potential to cause harm. One study found that more than 76% of </w:t>
            </w:r>
            <w:r w:rsidR="00FF780D">
              <w:rPr>
                <w:rFonts w:ascii="Calibri" w:eastAsia="Calibri" w:hAnsi="Calibri" w:cs="Calibri"/>
                <w:color w:val="0000FF"/>
              </w:rPr>
              <w:t xml:space="preserve">medication </w:t>
            </w:r>
            <w:r w:rsidR="00CD0DE5" w:rsidRPr="00992086">
              <w:rPr>
                <w:rFonts w:ascii="Calibri" w:eastAsia="Calibri" w:hAnsi="Calibri" w:cs="Calibri"/>
                <w:color w:val="0000FF"/>
              </w:rPr>
              <w:t xml:space="preserve">discrepancies in a psychiatric unit were considered potentially harmful at the moderate-to-severe level if medications were not </w:t>
            </w:r>
            <w:r w:rsidR="001B7CDD" w:rsidRPr="00252E7B">
              <w:rPr>
                <w:rFonts w:ascii="Calibri" w:eastAsia="Calibri" w:hAnsi="Calibri" w:cs="Calibri"/>
                <w:color w:val="0000FF"/>
              </w:rPr>
              <w:t>properly reco</w:t>
            </w:r>
            <w:r w:rsidR="001B7CDD">
              <w:rPr>
                <w:rFonts w:ascii="Calibri" w:eastAsia="Calibri" w:hAnsi="Calibri" w:cs="Calibri"/>
                <w:color w:val="0000FF"/>
              </w:rPr>
              <w:t>nciled</w:t>
            </w:r>
            <w:r w:rsidR="00947484">
              <w:rPr>
                <w:rFonts w:ascii="Calibri" w:eastAsia="Calibri" w:hAnsi="Calibri" w:cs="Calibri"/>
                <w:color w:val="0000FF"/>
              </w:rPr>
              <w:t xml:space="preserve"> (</w:t>
            </w:r>
            <w:r w:rsidR="00947484" w:rsidRPr="00FF780D">
              <w:rPr>
                <w:rFonts w:ascii="Calibri" w:eastAsia="Calibri" w:hAnsi="Calibri" w:cs="Calibri"/>
                <w:color w:val="0000FF"/>
              </w:rPr>
              <w:t>Brownlie</w:t>
            </w:r>
            <w:r w:rsidR="00947484">
              <w:rPr>
                <w:rFonts w:ascii="Calibri" w:eastAsia="Calibri" w:hAnsi="Calibri" w:cs="Calibri"/>
                <w:color w:val="0000FF"/>
              </w:rPr>
              <w:t xml:space="preserve">, et al, 2014). </w:t>
            </w:r>
            <w:r w:rsidR="00CD0DE5" w:rsidRPr="00992086">
              <w:rPr>
                <w:rFonts w:ascii="Calibri" w:eastAsia="Calibri" w:hAnsi="Calibri" w:cs="Calibri"/>
                <w:color w:val="0000FF"/>
              </w:rPr>
              <w:t>Another study of 50 psychiatric inpatients identified that 82% of discrepancies had the potential to cause moderate or severe harm and that 17% of those discrepancies resulted in ADEs including manifestation of affective symptoms, rebound symptoms, progressive psychosis, unmanaged parkinsonism, increased pain, constipation, hypertension, stomach perforation, and</w:t>
            </w:r>
            <w:r w:rsidR="001B7CDD">
              <w:rPr>
                <w:rFonts w:ascii="Calibri" w:eastAsia="Calibri" w:hAnsi="Calibri" w:cs="Calibri"/>
                <w:color w:val="0000FF"/>
              </w:rPr>
              <w:t xml:space="preserve"> nausea.</w:t>
            </w:r>
            <w:r w:rsidR="008D25F8">
              <w:rPr>
                <w:rFonts w:ascii="Calibri" w:eastAsia="Calibri" w:hAnsi="Calibri" w:cs="Calibri"/>
                <w:color w:val="0000FF"/>
              </w:rPr>
              <w:t xml:space="preserve"> (Prins, Drenth-van Maanen, Kok</w:t>
            </w:r>
            <w:r w:rsidR="008D25F8" w:rsidRPr="00FF780D">
              <w:rPr>
                <w:rFonts w:ascii="Calibri" w:eastAsia="Calibri" w:hAnsi="Calibri" w:cs="Calibri"/>
                <w:color w:val="0000FF"/>
              </w:rPr>
              <w:t>, Jansen</w:t>
            </w:r>
            <w:r w:rsidR="008D25F8">
              <w:rPr>
                <w:rFonts w:ascii="Calibri" w:eastAsia="Calibri" w:hAnsi="Calibri" w:cs="Calibri"/>
                <w:color w:val="0000FF"/>
              </w:rPr>
              <w:t>, 2013)</w:t>
            </w:r>
            <w:r w:rsidR="008D25F8">
              <w:rPr>
                <w:rFonts w:ascii="Calibri" w:eastAsia="Calibri" w:hAnsi="Calibri" w:cs="Calibri"/>
                <w:color w:val="0000FF"/>
                <w:vertAlign w:val="superscript"/>
              </w:rPr>
              <w:t xml:space="preserve"> </w:t>
            </w:r>
            <w:r w:rsidR="00376FE8" w:rsidRPr="00376FE8">
              <w:rPr>
                <w:rFonts w:ascii="Calibri" w:eastAsia="Calibri" w:hAnsi="Calibri" w:cs="Calibri"/>
                <w:color w:val="0000FF"/>
              </w:rPr>
              <w:t>Collectively, these findings highlight that medication discrepancies are important targets of medication reconciliation on admission to reduce the rate of ADEs and improve patient safety in the IPF setting.</w:t>
            </w:r>
          </w:p>
          <w:p w14:paraId="04F59B08" w14:textId="77777777" w:rsidR="000C5BF8" w:rsidRDefault="000C5BF8" w:rsidP="005E262B">
            <w:pPr>
              <w:ind w:left="0" w:firstLine="0"/>
              <w:rPr>
                <w:rFonts w:ascii="Calibri" w:eastAsia="Calibri" w:hAnsi="Calibri" w:cs="Calibri"/>
                <w:color w:val="0000FF"/>
              </w:rPr>
            </w:pPr>
          </w:p>
          <w:p w14:paraId="4401FCEB" w14:textId="2582A65C" w:rsidR="00A66501" w:rsidRPr="00A66501" w:rsidRDefault="00A66501" w:rsidP="005E262B">
            <w:pPr>
              <w:ind w:left="0" w:firstLine="0"/>
              <w:rPr>
                <w:rFonts w:ascii="Calibri" w:eastAsia="Calibri" w:hAnsi="Calibri" w:cs="Calibri"/>
                <w:color w:val="0000FF"/>
                <w:u w:val="single"/>
              </w:rPr>
            </w:pPr>
            <w:r w:rsidRPr="00A66501">
              <w:rPr>
                <w:rFonts w:ascii="Calibri" w:eastAsia="Calibri" w:hAnsi="Calibri" w:cs="Calibri"/>
                <w:color w:val="0000FF"/>
                <w:u w:val="single"/>
              </w:rPr>
              <w:t>Citations</w:t>
            </w:r>
          </w:p>
          <w:p w14:paraId="342B1233" w14:textId="451399A0" w:rsidR="00A13022" w:rsidRPr="00A13022" w:rsidRDefault="00A66501"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Byrne SM, Grimes TC, Jago-Byrne MC, Galvin M. Impact of team-versus ward-aligned clinical pharmacy on unintentional medication discrepancies at admission. International journal of clinical pharmacy. 2017;39(1):148-155. doi: 10.1007/s11096-016-0412-4.</w:t>
            </w:r>
          </w:p>
          <w:p w14:paraId="7365F256" w14:textId="78C12A1B" w:rsidR="00A13022" w:rsidRPr="00A13022" w:rsidRDefault="00A66501" w:rsidP="00A13022">
            <w:pPr>
              <w:ind w:left="0" w:firstLine="0"/>
              <w:rPr>
                <w:rFonts w:ascii="Calibri" w:eastAsia="Calibri" w:hAnsi="Calibri" w:cs="Calibri"/>
                <w:color w:val="0000FF"/>
              </w:rPr>
            </w:pPr>
            <w:r>
              <w:rPr>
                <w:rFonts w:ascii="Calibri" w:eastAsia="Calibri" w:hAnsi="Calibri" w:cs="Calibri"/>
                <w:color w:val="0000FF"/>
              </w:rPr>
              <w:lastRenderedPageBreak/>
              <w:t>*</w:t>
            </w:r>
            <w:r w:rsidR="00A13022">
              <w:rPr>
                <w:rFonts w:ascii="Calibri" w:eastAsia="Calibri" w:hAnsi="Calibri" w:cs="Calibri"/>
                <w:color w:val="0000FF"/>
              </w:rPr>
              <w:t xml:space="preserve"> </w:t>
            </w:r>
            <w:r w:rsidR="00A13022" w:rsidRPr="00A13022">
              <w:rPr>
                <w:rFonts w:ascii="Calibri" w:eastAsia="Calibri" w:hAnsi="Calibri" w:cs="Calibri"/>
                <w:color w:val="0000FF"/>
              </w:rPr>
              <w:t>Hron JD, Manzi S, Dionne R, et al. Electronic medication reconciliation and medication errors. International jou</w:t>
            </w:r>
            <w:r>
              <w:rPr>
                <w:rFonts w:ascii="Calibri" w:eastAsia="Calibri" w:hAnsi="Calibri" w:cs="Calibri"/>
                <w:color w:val="0000FF"/>
              </w:rPr>
              <w:t>rnal for quality in health care</w:t>
            </w:r>
            <w:r w:rsidR="00A13022" w:rsidRPr="00A13022">
              <w:rPr>
                <w:rFonts w:ascii="Calibri" w:eastAsia="Calibri" w:hAnsi="Calibri" w:cs="Calibri"/>
                <w:color w:val="0000FF"/>
              </w:rPr>
              <w:t>: journal of the International Society for Quality in Health Care / ISQua. 2015;27(4):314-319. doi: 10.1093/intqhc/mzv046.</w:t>
            </w:r>
          </w:p>
          <w:p w14:paraId="290EB5D8" w14:textId="3AE90CDF" w:rsidR="00A13022" w:rsidRPr="00A13022" w:rsidRDefault="00A66501"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Sherr L, Nagra N, Kulubya G, Catalan J, Clucas C, Harding R. HIV infection associated post-traumatic stress disorder and post-traumatic growth--a systematic review. Psychology, health &amp; medicine. 2011;16(5):612-629. doi: 10.1080/13548506.2011.579991.</w:t>
            </w:r>
          </w:p>
          <w:p w14:paraId="3462E8D3" w14:textId="1DB03137" w:rsidR="00A13022" w:rsidRPr="00A13022" w:rsidRDefault="00A66501"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Gimenez-Manzorro A, Romero-Jimenez RM, Calleja-Hernandez MA, Pla-Mestre R, Munoz-Calero A, Sanjurjo-Saez M. Effectiveness of an electronic tool for medication reconciliation in a general surgery department. International journal of clinical pharmacy. 2015;37(1):159-167. doi: 10.1007/s11096-014-0057-0.</w:t>
            </w:r>
          </w:p>
          <w:p w14:paraId="518AB9D2" w14:textId="27EE1D69" w:rsidR="00A13022" w:rsidRPr="00A13022" w:rsidRDefault="00A66501"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Curatolo N, Gutermann L, Devaquet N, Roy S, Rieutord A. Reducing medication errors at admission: 3 cycles to implement, improve and sustain medication reconciliation. International journal of clinical pharmacy. 2015;37(1):113-120. doi: 10.1007/s11096-014-0047-2.</w:t>
            </w:r>
          </w:p>
          <w:p w14:paraId="52079EF4" w14:textId="1BDD6B3F" w:rsidR="00A13022" w:rsidRPr="00A13022" w:rsidRDefault="00E76C24"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Leguelinel-Blache G, Arnaud F, Bouvet S, et al. Impact of admission medication reconciliation performed by clinical pharmacists on medication safety. European journal of internal medicine. 2014;25(9):808-814. doi: 10.1016/j.ejim.2014.09.012.</w:t>
            </w:r>
          </w:p>
          <w:p w14:paraId="0969E58A" w14:textId="56A992CB" w:rsidR="00A13022" w:rsidRPr="00A13022" w:rsidRDefault="00E76C24"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Andreoli L, Alexandra JF, Tesmoingt C, et al. Medication reconciliation: a prospective study in an internal medicine unit. Drugs &amp; aging. 2014;31(5):387-393. doi: 10.1007/s40266-014-0167-3.</w:t>
            </w:r>
          </w:p>
          <w:p w14:paraId="3E978C04" w14:textId="3565BEB1" w:rsidR="00A13022" w:rsidRPr="00A13022" w:rsidRDefault="00B34C03"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Grimes TC, Deasy E, Allen A, et al. Collaborative pharmaceutical care in an Irish hospital: uncontrolled before-after study. BMJ quality &amp; safety. 2014;23(7):574-583. doi: 10.1136/bmjqs-2013-002188.</w:t>
            </w:r>
          </w:p>
          <w:p w14:paraId="56E347B9" w14:textId="7BBFA0B6" w:rsidR="00A13022" w:rsidRPr="00A13022" w:rsidRDefault="00B34C03"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Lea M, Barstad I, Mathiesen L, Mowe M, Molden E. Effect of teaching and checklist implementation on accuracy of medication history recording at hospital admission. International journal of clinical pharmacy. 2016;38(1):20-24. doi: 10.1007/s11096-015-0218-9.</w:t>
            </w:r>
          </w:p>
          <w:p w14:paraId="68436EFA" w14:textId="680C5C3B" w:rsidR="00A13022" w:rsidRPr="00A13022" w:rsidRDefault="00B34C03"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Becerra-Camargo J, Martinez-Martinez F, Garcia-Jimenez E. A multicentre, double-blind, randomised, controlled, parallel-group study of the effectiveness of a pharmacist-acquired medication history in an emergency department. BMC health services research. 2013;13:337. doi: 10.1186/1472-6963-13-337.</w:t>
            </w:r>
          </w:p>
          <w:p w14:paraId="7E0566CD" w14:textId="5D2526F7" w:rsidR="00A13022" w:rsidRPr="00A13022" w:rsidRDefault="00B34C03" w:rsidP="00A13022">
            <w:pPr>
              <w:ind w:left="0" w:firstLine="0"/>
              <w:rPr>
                <w:rFonts w:ascii="Calibri" w:eastAsia="Calibri" w:hAnsi="Calibri" w:cs="Calibri"/>
                <w:color w:val="0000FF"/>
              </w:rPr>
            </w:pPr>
            <w:r>
              <w:rPr>
                <w:rFonts w:ascii="Calibri" w:eastAsia="Calibri" w:hAnsi="Calibri" w:cs="Calibri"/>
                <w:color w:val="0000FF"/>
              </w:rPr>
              <w:t>*</w:t>
            </w:r>
            <w:r w:rsidR="00A13022">
              <w:rPr>
                <w:rFonts w:ascii="Calibri" w:eastAsia="Calibri" w:hAnsi="Calibri" w:cs="Calibri"/>
                <w:color w:val="0000FF"/>
              </w:rPr>
              <w:t xml:space="preserve"> </w:t>
            </w:r>
            <w:r w:rsidR="00A13022" w:rsidRPr="00A13022">
              <w:rPr>
                <w:rFonts w:ascii="Calibri" w:eastAsia="Calibri" w:hAnsi="Calibri" w:cs="Calibri"/>
                <w:color w:val="0000FF"/>
              </w:rPr>
              <w:t>Cater SW, Luzum M, Serra AE, et al. A prospective cohort study of medication reconciliation using pharmacy technicians in the emergency department to reduce medication errors among admitted patients. The Journal of emergency medicine. 2015;48(2):230-238. doi: 10.1016/j.jemermed.2014.09.065.</w:t>
            </w:r>
          </w:p>
          <w:p w14:paraId="3045BB96" w14:textId="5D33B3FF" w:rsidR="00A13022" w:rsidRPr="00A13022" w:rsidRDefault="00B34C03" w:rsidP="00A13022">
            <w:pPr>
              <w:ind w:left="0" w:firstLine="0"/>
              <w:rPr>
                <w:rFonts w:ascii="Calibri" w:eastAsia="Calibri" w:hAnsi="Calibri" w:cs="Calibri"/>
                <w:color w:val="0000FF"/>
              </w:rPr>
            </w:pPr>
            <w:r>
              <w:rPr>
                <w:rFonts w:ascii="Calibri" w:eastAsia="Calibri" w:hAnsi="Calibri" w:cs="Calibri"/>
                <w:color w:val="0000FF"/>
              </w:rPr>
              <w:lastRenderedPageBreak/>
              <w:t>*</w:t>
            </w:r>
            <w:r w:rsidR="00A13022">
              <w:rPr>
                <w:rFonts w:ascii="Calibri" w:eastAsia="Calibri" w:hAnsi="Calibri" w:cs="Calibri"/>
                <w:color w:val="0000FF"/>
              </w:rPr>
              <w:t xml:space="preserve"> </w:t>
            </w:r>
            <w:r w:rsidR="00A13022" w:rsidRPr="00A13022">
              <w:rPr>
                <w:rFonts w:ascii="Calibri" w:eastAsia="Calibri" w:hAnsi="Calibri" w:cs="Calibri"/>
                <w:color w:val="0000FF"/>
              </w:rPr>
              <w:t xml:space="preserve">Wang T, Biederman S. Enhance the accuracy of medication histories for the elderly by using an electronic medication checklist. Perspect Health Inf Manag. 2012;9:1-15. </w:t>
            </w:r>
          </w:p>
          <w:p w14:paraId="7E3A3FBB" w14:textId="22C425BD" w:rsidR="00A13022" w:rsidRPr="00A13022" w:rsidRDefault="003C6B78" w:rsidP="00A13022">
            <w:pPr>
              <w:ind w:left="0" w:firstLine="0"/>
              <w:rPr>
                <w:rFonts w:ascii="Calibri" w:eastAsia="Calibri" w:hAnsi="Calibri" w:cs="Calibri"/>
                <w:color w:val="0000FF"/>
              </w:rPr>
            </w:pPr>
            <w:r>
              <w:rPr>
                <w:rFonts w:ascii="Calibri" w:eastAsia="Calibri" w:hAnsi="Calibri" w:cs="Calibri"/>
                <w:color w:val="0000FF"/>
              </w:rPr>
              <w:t xml:space="preserve">* </w:t>
            </w:r>
            <w:r w:rsidR="00A13022" w:rsidRPr="00A13022">
              <w:rPr>
                <w:rFonts w:ascii="Calibri" w:eastAsia="Calibri" w:hAnsi="Calibri" w:cs="Calibri"/>
                <w:color w:val="0000FF"/>
              </w:rPr>
              <w:t>van den Bemt PM, van der Schrieck-de Loos EM, van der Linden C, Theeuwes AM, Pol AG, Dutch CBOWHOHsSG. Effect of medication reconciliation on unintentional medication discrepancies in acute hospital admissions of elderly adults: a multicenter study. Journal of the American Geriatrics Society. 2013;61(8):1262-1268. doi: 10.1111/jgs.12380.</w:t>
            </w:r>
          </w:p>
          <w:p w14:paraId="1BABEBC3" w14:textId="54408F0C" w:rsidR="00A13022" w:rsidRPr="00A13022" w:rsidRDefault="003C6B78" w:rsidP="00A13022">
            <w:pPr>
              <w:ind w:left="0" w:firstLine="0"/>
              <w:rPr>
                <w:rFonts w:ascii="Calibri" w:eastAsia="Calibri" w:hAnsi="Calibri" w:cs="Calibri"/>
                <w:color w:val="0000FF"/>
              </w:rPr>
            </w:pPr>
            <w:r>
              <w:rPr>
                <w:rFonts w:ascii="Calibri" w:eastAsia="Calibri" w:hAnsi="Calibri" w:cs="Calibri"/>
                <w:color w:val="0000FF"/>
              </w:rPr>
              <w:t xml:space="preserve">* </w:t>
            </w:r>
            <w:r w:rsidR="00A13022" w:rsidRPr="00A13022">
              <w:rPr>
                <w:rFonts w:ascii="Calibri" w:eastAsia="Calibri" w:hAnsi="Calibri" w:cs="Calibri"/>
                <w:color w:val="0000FF"/>
              </w:rPr>
              <w:t>Becerra-Camargo J, Martinez-Martinez F, Garcia-Jimenez E. The effect on potential adverse drug events of a pharmacist-acquired medication history in an emergency department: a multicentre, double-blind, randomised, controlled, parallel-group study. BMC health services research. 2015;15:337. doi: 10.1186/s12913-015-0990-1.</w:t>
            </w:r>
          </w:p>
          <w:p w14:paraId="2D805103" w14:textId="4DBC76AA" w:rsidR="00A13022" w:rsidRPr="00A13022" w:rsidRDefault="003C6B78" w:rsidP="00A13022">
            <w:pPr>
              <w:ind w:left="0" w:firstLine="0"/>
              <w:rPr>
                <w:rFonts w:ascii="Calibri" w:eastAsia="Calibri" w:hAnsi="Calibri" w:cs="Calibri"/>
                <w:color w:val="0000FF"/>
              </w:rPr>
            </w:pPr>
            <w:r>
              <w:rPr>
                <w:rFonts w:ascii="Calibri" w:eastAsia="Calibri" w:hAnsi="Calibri" w:cs="Calibri"/>
                <w:color w:val="0000FF"/>
              </w:rPr>
              <w:t xml:space="preserve">* </w:t>
            </w:r>
            <w:r w:rsidR="00A13022" w:rsidRPr="00A13022">
              <w:rPr>
                <w:rFonts w:ascii="Calibri" w:eastAsia="Calibri" w:hAnsi="Calibri" w:cs="Calibri"/>
                <w:color w:val="0000FF"/>
              </w:rPr>
              <w:t>Khalil V, deClifford JM, Lam S, Subramaniam A. Implementation and evaluation of a collaborative clinical pharmacist's medications reconciliation and charting service for admitted medical inpatients in a metropolitan hospital. Journal of clinical pharmacy and therapeutics. 2016;41(6):662-666. doi: 10.1111/jcpt.12442.</w:t>
            </w:r>
          </w:p>
          <w:p w14:paraId="2EB0AA45" w14:textId="1950FD81" w:rsidR="00A13022" w:rsidRDefault="003C6B78" w:rsidP="00A13022">
            <w:pPr>
              <w:ind w:left="0" w:firstLine="0"/>
              <w:rPr>
                <w:rFonts w:ascii="Calibri" w:eastAsia="Calibri" w:hAnsi="Calibri" w:cs="Calibri"/>
                <w:color w:val="0000FF"/>
              </w:rPr>
            </w:pPr>
            <w:r>
              <w:rPr>
                <w:rFonts w:ascii="Calibri" w:eastAsia="Calibri" w:hAnsi="Calibri" w:cs="Calibri"/>
                <w:color w:val="0000FF"/>
              </w:rPr>
              <w:t xml:space="preserve">* </w:t>
            </w:r>
            <w:r w:rsidR="00A13022" w:rsidRPr="00A13022">
              <w:rPr>
                <w:rFonts w:ascii="Calibri" w:eastAsia="Calibri" w:hAnsi="Calibri" w:cs="Calibri"/>
                <w:color w:val="0000FF"/>
              </w:rPr>
              <w:t>Mergenhagen KA, Blum SS, Kugler A, et al. Pharmacist- versus physician-initiated admission medication reconciliation: impact on adverse drug events. The American journal of geriatric pharmacotherapy. 2012;10(4):242-250. doi: 10.1016/j.amjopharm.2012.06.001.</w:t>
            </w:r>
          </w:p>
          <w:p w14:paraId="7D6469EA" w14:textId="12193F7E" w:rsidR="00515ECB" w:rsidRPr="00515ECB" w:rsidRDefault="005E13F5" w:rsidP="00515ECB">
            <w:pPr>
              <w:ind w:left="0" w:firstLine="0"/>
              <w:rPr>
                <w:rFonts w:ascii="Calibri" w:eastAsia="Calibri" w:hAnsi="Calibri" w:cs="Calibri"/>
                <w:color w:val="0000FF"/>
              </w:rPr>
            </w:pPr>
            <w:r>
              <w:rPr>
                <w:rFonts w:ascii="Calibri" w:eastAsia="Calibri" w:hAnsi="Calibri" w:cs="Calibri"/>
                <w:color w:val="0000FF"/>
              </w:rPr>
              <w:t xml:space="preserve">* </w:t>
            </w:r>
            <w:r w:rsidR="00515ECB" w:rsidRPr="00515ECB">
              <w:rPr>
                <w:rFonts w:ascii="Calibri" w:eastAsia="Calibri" w:hAnsi="Calibri" w:cs="Calibri"/>
                <w:color w:val="0000FF"/>
              </w:rPr>
              <w:t>Boockvar KS, Blum S, Kugler A, et al. Effect of admission medication reconciliation on adverse drug events from admission medication changes. Arch Intern Med. 2011;171(9):860-861. doi: 10.1001/archinternmed.2011.163.</w:t>
            </w:r>
          </w:p>
          <w:p w14:paraId="73057D54" w14:textId="426E8E5C" w:rsidR="005E262B" w:rsidRDefault="00FC3B0A" w:rsidP="00CD0DE5">
            <w:pPr>
              <w:ind w:left="0" w:firstLine="0"/>
              <w:rPr>
                <w:rFonts w:ascii="Calibri" w:eastAsia="Calibri" w:hAnsi="Calibri" w:cs="Calibri"/>
                <w:color w:val="0000FF"/>
              </w:rPr>
            </w:pPr>
            <w:r>
              <w:rPr>
                <w:rFonts w:ascii="Calibri" w:eastAsia="Calibri" w:hAnsi="Calibri" w:cs="Calibri"/>
                <w:color w:val="0000FF"/>
              </w:rPr>
              <w:t xml:space="preserve">* </w:t>
            </w:r>
            <w:r w:rsidR="00515ECB" w:rsidRPr="00515ECB">
              <w:rPr>
                <w:rFonts w:ascii="Calibri" w:eastAsia="Calibri" w:hAnsi="Calibri" w:cs="Calibri"/>
                <w:color w:val="0000FF"/>
              </w:rPr>
              <w:t>Schnipper JL, Kirwin JL, Cotugno MC, et al.  Role of pharmacist counseling in preventing adverse drug events after hospitalization.  Arch Intern Med. 2006;166(5):565-571. DOI: 10.1001/archinte.166.5.565</w:t>
            </w:r>
          </w:p>
          <w:p w14:paraId="6971B285" w14:textId="5210590B" w:rsidR="00794EC2" w:rsidRPr="00FF780D" w:rsidRDefault="005E13F5" w:rsidP="00CD0DE5">
            <w:pPr>
              <w:ind w:left="0" w:firstLine="0"/>
              <w:rPr>
                <w:rFonts w:ascii="Calibri" w:eastAsia="Calibri" w:hAnsi="Calibri" w:cs="Calibri"/>
                <w:color w:val="0000FF"/>
              </w:rPr>
            </w:pPr>
            <w:r>
              <w:rPr>
                <w:rFonts w:ascii="Calibri" w:eastAsia="Calibri" w:hAnsi="Calibri" w:cs="Calibri"/>
                <w:color w:val="0000FF"/>
              </w:rPr>
              <w:t xml:space="preserve">* </w:t>
            </w:r>
            <w:r w:rsidR="00794EC2" w:rsidRPr="00FF780D">
              <w:rPr>
                <w:rFonts w:ascii="Calibri" w:eastAsia="Calibri" w:hAnsi="Calibri" w:cs="Calibri"/>
                <w:color w:val="0000FF"/>
              </w:rPr>
              <w:t>Keers RN, Williams SD, Vattakatuchery JJ, et al. Prevalence, nature and predictors of prescribing errors in mental health hospitals: a prospective multicentre study. BMJ open. 2014;4(9):e006084. doi: 10.1136/bmjopen-2014-006084.</w:t>
            </w:r>
          </w:p>
          <w:p w14:paraId="4EB7C27A" w14:textId="77777777" w:rsidR="00794EC2" w:rsidRPr="00FF780D" w:rsidRDefault="00794EC2" w:rsidP="00CD0DE5">
            <w:pPr>
              <w:ind w:left="0" w:firstLine="0"/>
              <w:rPr>
                <w:rFonts w:ascii="Calibri" w:eastAsia="Calibri" w:hAnsi="Calibri" w:cs="Calibri"/>
                <w:color w:val="0000FF"/>
              </w:rPr>
            </w:pPr>
            <w:r w:rsidRPr="00FF780D">
              <w:rPr>
                <w:rFonts w:ascii="Calibri" w:eastAsia="Calibri" w:hAnsi="Calibri" w:cs="Calibri"/>
                <w:color w:val="0000FF"/>
              </w:rPr>
              <w:t>20. Paton C, McIntyre S, Bhatti SF, et al. Medicines Reconciliation on Admission to Inpatient Psychiatric Care: Findings from a UK Quality Improvement Programme. Therapeutic advances in psychopharmacology. 2011;1(4):101-110. doi: 10.1177/2045125311417299.</w:t>
            </w:r>
          </w:p>
          <w:p w14:paraId="548CA886" w14:textId="103D5E99" w:rsidR="00FF780D" w:rsidRPr="00FF780D" w:rsidRDefault="00947484" w:rsidP="00CD0DE5">
            <w:pPr>
              <w:ind w:left="0" w:firstLine="0"/>
              <w:rPr>
                <w:rFonts w:ascii="Calibri" w:eastAsia="Calibri" w:hAnsi="Calibri" w:cs="Calibri"/>
                <w:color w:val="0000FF"/>
              </w:rPr>
            </w:pPr>
            <w:r>
              <w:rPr>
                <w:rFonts w:ascii="Calibri" w:eastAsia="Calibri" w:hAnsi="Calibri" w:cs="Calibri"/>
                <w:color w:val="0000FF"/>
              </w:rPr>
              <w:t>*</w:t>
            </w:r>
            <w:r w:rsidR="00FF780D" w:rsidRPr="00FF780D">
              <w:rPr>
                <w:rFonts w:ascii="Calibri" w:eastAsia="Calibri" w:hAnsi="Calibri" w:cs="Calibri"/>
                <w:color w:val="0000FF"/>
              </w:rPr>
              <w:t xml:space="preserve"> Brownlie K, Schneider C, Culliford R, et al. Medication reconciliation by a pharmacy technician in a mental health assessment unit. International journal of clinical pharmacy. 2014;36(2):303-309. doi: 10.1007/s11096-013-9875-8.</w:t>
            </w:r>
          </w:p>
          <w:p w14:paraId="55B8DA92" w14:textId="0069E59C" w:rsidR="00FF780D" w:rsidRDefault="008D25F8" w:rsidP="008D25F8">
            <w:pPr>
              <w:ind w:left="0" w:firstLine="0"/>
            </w:pPr>
            <w:r>
              <w:rPr>
                <w:rFonts w:ascii="Calibri" w:eastAsia="Calibri" w:hAnsi="Calibri" w:cs="Calibri"/>
                <w:color w:val="0000FF"/>
              </w:rPr>
              <w:t xml:space="preserve">* </w:t>
            </w:r>
            <w:r w:rsidR="00FF780D" w:rsidRPr="00FF780D">
              <w:rPr>
                <w:rFonts w:ascii="Calibri" w:eastAsia="Calibri" w:hAnsi="Calibri" w:cs="Calibri"/>
                <w:color w:val="0000FF"/>
              </w:rPr>
              <w:t>Prins MC, Drenth-van Maanen AC, Kok RM, Jansen PA. Use of a structured medication history to establish medication use at admission to an old age psychiatric clinic: a prospective observational study. CNS drugs. 2013;27(11):963-969. doi: 10.1007/s40263-013-0103-9.</w:t>
            </w:r>
            <w:bookmarkEnd w:id="7"/>
          </w:p>
        </w:tc>
      </w:tr>
    </w:tbl>
    <w:p w14:paraId="55B8DA94" w14:textId="541F2CC3" w:rsidR="007C1887" w:rsidRDefault="007C1887" w:rsidP="002E2177">
      <w:pPr>
        <w:ind w:left="0" w:firstLine="0"/>
      </w:pPr>
    </w:p>
    <w:tbl>
      <w:tblPr>
        <w:tblStyle w:val="TableGrid"/>
        <w:tblW w:w="9265" w:type="dxa"/>
        <w:tblLayout w:type="fixed"/>
        <w:tblLook w:val="04A0" w:firstRow="1" w:lastRow="0" w:firstColumn="1" w:lastColumn="0" w:noHBand="0" w:noVBand="1"/>
      </w:tblPr>
      <w:tblGrid>
        <w:gridCol w:w="3325"/>
        <w:gridCol w:w="5940"/>
      </w:tblGrid>
      <w:tr w:rsidR="00A747F1" w14:paraId="5BF2F1C7" w14:textId="77777777" w:rsidTr="00A13022">
        <w:trPr>
          <w:trHeight w:val="1952"/>
        </w:trPr>
        <w:tc>
          <w:tcPr>
            <w:tcW w:w="3325" w:type="dxa"/>
          </w:tcPr>
          <w:p w14:paraId="74ECDF80" w14:textId="77777777" w:rsidR="00A747F1" w:rsidRPr="00A40970" w:rsidRDefault="00A747F1" w:rsidP="002D4591">
            <w:pPr>
              <w:ind w:left="0" w:firstLine="0"/>
              <w:rPr>
                <w:b/>
                <w:bCs/>
              </w:rPr>
            </w:pPr>
            <w:r w:rsidRPr="1719BFFE">
              <w:rPr>
                <w:b/>
                <w:bCs/>
              </w:rPr>
              <w:t>Source of Systematic Review:</w:t>
            </w:r>
          </w:p>
          <w:p w14:paraId="3E471528" w14:textId="77777777" w:rsidR="00A747F1" w:rsidRPr="00D5691A" w:rsidRDefault="00A747F1" w:rsidP="002D4591">
            <w:pPr>
              <w:pStyle w:val="ListParagraph"/>
              <w:numPr>
                <w:ilvl w:val="0"/>
                <w:numId w:val="9"/>
              </w:numPr>
              <w:rPr>
                <w:b/>
                <w:bCs/>
              </w:rPr>
            </w:pPr>
            <w:r w:rsidRPr="1719BFFE">
              <w:rPr>
                <w:b/>
                <w:bCs/>
              </w:rPr>
              <w:t>Title</w:t>
            </w:r>
          </w:p>
          <w:p w14:paraId="4803697C" w14:textId="77777777" w:rsidR="00A747F1" w:rsidRPr="00D5691A" w:rsidRDefault="00A747F1" w:rsidP="002D4591">
            <w:pPr>
              <w:pStyle w:val="ListParagraph"/>
              <w:numPr>
                <w:ilvl w:val="0"/>
                <w:numId w:val="9"/>
              </w:numPr>
              <w:rPr>
                <w:b/>
                <w:bCs/>
              </w:rPr>
            </w:pPr>
            <w:r w:rsidRPr="1719BFFE">
              <w:rPr>
                <w:b/>
                <w:bCs/>
              </w:rPr>
              <w:t>Author</w:t>
            </w:r>
          </w:p>
          <w:p w14:paraId="45F29E9A" w14:textId="77777777" w:rsidR="00A747F1" w:rsidRPr="00D5691A" w:rsidRDefault="00A747F1" w:rsidP="002D4591">
            <w:pPr>
              <w:pStyle w:val="ListParagraph"/>
              <w:numPr>
                <w:ilvl w:val="0"/>
                <w:numId w:val="9"/>
              </w:numPr>
              <w:rPr>
                <w:b/>
                <w:bCs/>
              </w:rPr>
            </w:pPr>
            <w:r w:rsidRPr="1719BFFE">
              <w:rPr>
                <w:b/>
                <w:bCs/>
              </w:rPr>
              <w:t>Date</w:t>
            </w:r>
          </w:p>
          <w:p w14:paraId="07BB4AA6" w14:textId="77777777" w:rsidR="00A747F1" w:rsidRPr="00D5691A" w:rsidRDefault="00A747F1" w:rsidP="002D4591">
            <w:pPr>
              <w:pStyle w:val="ListParagraph"/>
              <w:numPr>
                <w:ilvl w:val="0"/>
                <w:numId w:val="9"/>
              </w:numPr>
              <w:rPr>
                <w:b/>
                <w:bCs/>
              </w:rPr>
            </w:pPr>
            <w:r w:rsidRPr="1719BFFE">
              <w:rPr>
                <w:b/>
                <w:bCs/>
              </w:rPr>
              <w:t>Citation, including page number</w:t>
            </w:r>
          </w:p>
          <w:p w14:paraId="372B6778" w14:textId="77777777" w:rsidR="00A747F1" w:rsidRPr="00D5691A" w:rsidRDefault="00A747F1" w:rsidP="002D4591">
            <w:pPr>
              <w:pStyle w:val="ListParagraph"/>
              <w:numPr>
                <w:ilvl w:val="0"/>
                <w:numId w:val="9"/>
              </w:numPr>
              <w:spacing w:after="0"/>
              <w:rPr>
                <w:b/>
                <w:bCs/>
              </w:rPr>
            </w:pPr>
            <w:r w:rsidRPr="1719BFFE">
              <w:rPr>
                <w:b/>
                <w:bCs/>
              </w:rPr>
              <w:t>URL</w:t>
            </w:r>
          </w:p>
        </w:tc>
        <w:tc>
          <w:tcPr>
            <w:tcW w:w="5940" w:type="dxa"/>
          </w:tcPr>
          <w:p w14:paraId="172D4408" w14:textId="77777777" w:rsidR="00A747F1" w:rsidRPr="00CC2FF4" w:rsidRDefault="00A747F1" w:rsidP="002D4591">
            <w:pPr>
              <w:widowControl w:val="0"/>
              <w:ind w:left="25" w:firstLine="17"/>
              <w:rPr>
                <w:rFonts w:ascii="Calibri" w:eastAsia="Calibri" w:hAnsi="Calibri" w:cs="Calibri"/>
                <w:color w:val="0000FF"/>
              </w:rPr>
            </w:pPr>
            <w:r w:rsidRPr="1719BFFE">
              <w:rPr>
                <w:rFonts w:ascii="Calibri" w:eastAsia="Calibri" w:hAnsi="Calibri" w:cs="Calibri"/>
                <w:color w:val="0000FF"/>
              </w:rPr>
              <w:t xml:space="preserve">The Joint Commission. (2016). </w:t>
            </w:r>
            <w:r w:rsidRPr="1719BFFE">
              <w:rPr>
                <w:rFonts w:ascii="Calibri" w:eastAsia="Calibri" w:hAnsi="Calibri" w:cs="Calibri"/>
                <w:i/>
                <w:iCs/>
                <w:color w:val="0000FF"/>
              </w:rPr>
              <w:t>National patient safety goals effective January 1, 2017: Hospital Accreditation Program</w:t>
            </w:r>
            <w:r w:rsidRPr="1719BFFE">
              <w:rPr>
                <w:rFonts w:ascii="Calibri" w:eastAsia="Calibri" w:hAnsi="Calibri" w:cs="Calibri"/>
                <w:color w:val="0000FF"/>
              </w:rPr>
              <w:t xml:space="preserve">. Retrieved on December 13, 2016 from  https://www.jointcommission.org/assets/1/6/NPSG_Chapter_HAP_Jan2017.pdf </w:t>
            </w:r>
          </w:p>
          <w:p w14:paraId="3E97ADCA" w14:textId="77777777" w:rsidR="00A747F1" w:rsidRPr="00CC2FF4" w:rsidRDefault="00A747F1" w:rsidP="002D4591">
            <w:pPr>
              <w:ind w:left="0" w:firstLine="0"/>
              <w:rPr>
                <w:b/>
                <w:color w:val="0000FF"/>
              </w:rPr>
            </w:pPr>
          </w:p>
        </w:tc>
      </w:tr>
      <w:tr w:rsidR="00A747F1" w14:paraId="3DB48D4E" w14:textId="77777777" w:rsidTr="00A13022">
        <w:tc>
          <w:tcPr>
            <w:tcW w:w="3325" w:type="dxa"/>
          </w:tcPr>
          <w:p w14:paraId="12323F81" w14:textId="77777777" w:rsidR="00A747F1" w:rsidRDefault="00A747F1" w:rsidP="002D4591">
            <w:pPr>
              <w:ind w:left="0" w:firstLine="0"/>
            </w:pPr>
            <w:r>
              <w:t>Quote the guideline or recommendation verbatim about the process, structure or intermediate outcome being measured. If not a guideline, summarize the conclusions from the SR.</w:t>
            </w:r>
          </w:p>
        </w:tc>
        <w:tc>
          <w:tcPr>
            <w:tcW w:w="5940" w:type="dxa"/>
          </w:tcPr>
          <w:p w14:paraId="2CBAF408" w14:textId="77777777" w:rsidR="00A747F1" w:rsidRPr="00CC2FF4" w:rsidRDefault="00A747F1" w:rsidP="00D176C6">
            <w:pPr>
              <w:widowControl w:val="0"/>
              <w:spacing w:line="216" w:lineRule="auto"/>
              <w:ind w:left="0" w:firstLine="0"/>
              <w:rPr>
                <w:rFonts w:ascii="Calibri" w:eastAsia="Calibri" w:hAnsi="Calibri" w:cs="Calibri"/>
                <w:color w:val="0000FF"/>
              </w:rPr>
            </w:pPr>
            <w:r w:rsidRPr="1719BFFE">
              <w:rPr>
                <w:rFonts w:ascii="Calibri" w:eastAsia="Calibri" w:hAnsi="Calibri" w:cs="Calibri"/>
                <w:color w:val="0000FF"/>
              </w:rPr>
              <w:t>The Joint Commission National Patient Safety Goals for hospitals include the following: Maintain and communicate accurate patient medication information (NPSG.03.06.01). The aspects of this goal that are relevant upon admission to the inpatient setting are stated as:</w:t>
            </w:r>
          </w:p>
          <w:p w14:paraId="1B30AB47" w14:textId="77777777" w:rsidR="00A747F1" w:rsidRPr="00D176C6" w:rsidRDefault="00A747F1" w:rsidP="00D176C6">
            <w:pPr>
              <w:widowControl w:val="0"/>
              <w:spacing w:line="216" w:lineRule="auto"/>
              <w:rPr>
                <w:rFonts w:ascii="Calibri" w:eastAsia="Calibri" w:hAnsi="Calibri" w:cs="Calibri"/>
                <w:color w:val="0000FF"/>
              </w:rPr>
            </w:pPr>
          </w:p>
          <w:p w14:paraId="35278A80" w14:textId="77777777" w:rsidR="00A747F1" w:rsidRPr="00BE2157" w:rsidRDefault="00A747F1" w:rsidP="00D176C6">
            <w:pPr>
              <w:pStyle w:val="ListParagraph"/>
              <w:widowControl w:val="0"/>
              <w:numPr>
                <w:ilvl w:val="0"/>
                <w:numId w:val="13"/>
              </w:numPr>
              <w:spacing w:line="216" w:lineRule="auto"/>
              <w:ind w:left="587"/>
              <w:rPr>
                <w:rFonts w:ascii="Calibri" w:eastAsia="Calibri" w:hAnsi="Calibri" w:cs="Calibri"/>
                <w:color w:val="0000FF"/>
              </w:rPr>
            </w:pPr>
            <w:r w:rsidRPr="1719BFFE">
              <w:rPr>
                <w:rFonts w:ascii="Calibri" w:eastAsia="Calibri" w:hAnsi="Calibri" w:cs="Calibri"/>
                <w:color w:val="0000FF"/>
              </w:rPr>
              <w:t>“Obtain information on the medications the patient is currently taking when he or she is admitted to the hospital or is seen in an outpatient setting. This information is documented in a list or other format that is useful to those who manage medications.</w:t>
            </w:r>
          </w:p>
          <w:p w14:paraId="48F923D2" w14:textId="77777777" w:rsidR="00A747F1" w:rsidRPr="00CC2FF4" w:rsidRDefault="00A747F1" w:rsidP="00D176C6">
            <w:pPr>
              <w:widowControl w:val="0"/>
              <w:spacing w:line="216" w:lineRule="auto"/>
              <w:ind w:left="587" w:firstLine="0"/>
              <w:rPr>
                <w:rFonts w:ascii="Calibri" w:eastAsia="Calibri" w:hAnsi="Calibri" w:cs="Calibri"/>
                <w:color w:val="0000FF"/>
              </w:rPr>
            </w:pPr>
            <w:r w:rsidRPr="1719BFFE">
              <w:rPr>
                <w:rFonts w:ascii="Calibri" w:eastAsia="Calibri" w:hAnsi="Calibri" w:cs="Calibri"/>
                <w:color w:val="0000FF"/>
              </w:rPr>
              <w:t>Note 1: Current medications include those taken at scheduled times and those taken on an as-needed basis. See the Glossary for a definition of medications.</w:t>
            </w:r>
          </w:p>
          <w:p w14:paraId="18E00888" w14:textId="77777777" w:rsidR="00A747F1" w:rsidRPr="00CC2FF4" w:rsidRDefault="00A747F1" w:rsidP="00D176C6">
            <w:pPr>
              <w:widowControl w:val="0"/>
              <w:spacing w:line="216" w:lineRule="auto"/>
              <w:ind w:left="587" w:firstLine="0"/>
              <w:rPr>
                <w:rFonts w:ascii="Calibri" w:eastAsia="Calibri" w:hAnsi="Calibri" w:cs="Calibri"/>
                <w:color w:val="0000FF"/>
              </w:rPr>
            </w:pPr>
            <w:r w:rsidRPr="1719BFFE">
              <w:rPr>
                <w:rFonts w:ascii="Calibri" w:eastAsia="Calibri" w:hAnsi="Calibri" w:cs="Calibri"/>
                <w:color w:val="0000FF"/>
              </w:rPr>
              <w:t>Note 2: It is often difficult to obtain complete information on current medications from a patient. A good faith effort to obtain this information from the patient and/or other sources will be considered as meeting the intent of the EP [element of performance].”</w:t>
            </w:r>
          </w:p>
          <w:p w14:paraId="65B409B1" w14:textId="77777777" w:rsidR="00A747F1" w:rsidRPr="00D176C6" w:rsidRDefault="00A747F1" w:rsidP="00D176C6">
            <w:pPr>
              <w:widowControl w:val="0"/>
              <w:spacing w:line="216" w:lineRule="auto"/>
              <w:ind w:left="587" w:firstLine="0"/>
              <w:rPr>
                <w:rFonts w:ascii="Calibri" w:eastAsia="Calibri" w:hAnsi="Calibri" w:cs="Calibri"/>
                <w:color w:val="0000FF"/>
              </w:rPr>
            </w:pPr>
          </w:p>
          <w:p w14:paraId="46E4C5A9" w14:textId="77777777" w:rsidR="00A747F1" w:rsidRPr="00BE2157" w:rsidRDefault="00A747F1" w:rsidP="00D176C6">
            <w:pPr>
              <w:pStyle w:val="ListParagraph"/>
              <w:widowControl w:val="0"/>
              <w:numPr>
                <w:ilvl w:val="0"/>
                <w:numId w:val="13"/>
              </w:numPr>
              <w:spacing w:line="216" w:lineRule="auto"/>
              <w:ind w:left="587"/>
              <w:rPr>
                <w:rFonts w:ascii="Calibri" w:eastAsia="Calibri" w:hAnsi="Calibri" w:cs="Calibri"/>
                <w:color w:val="0000FF"/>
              </w:rPr>
            </w:pPr>
            <w:r w:rsidRPr="1719BFFE">
              <w:rPr>
                <w:rFonts w:ascii="Calibri" w:eastAsia="Calibri" w:hAnsi="Calibri" w:cs="Calibri"/>
                <w:color w:val="0000FF"/>
              </w:rPr>
              <w:t>“Compare the medication information the patient brought to the hospital with the medications ordered for the patient by the hospital in order to identify and resolve discrepancies.</w:t>
            </w:r>
          </w:p>
          <w:p w14:paraId="2A814EB0" w14:textId="5D3447CE" w:rsidR="00A747F1" w:rsidRPr="00D176C6" w:rsidRDefault="00A747F1" w:rsidP="00D176C6">
            <w:pPr>
              <w:widowControl w:val="0"/>
              <w:spacing w:line="216" w:lineRule="auto"/>
              <w:ind w:left="587" w:firstLine="0"/>
              <w:rPr>
                <w:rFonts w:ascii="Calibri" w:eastAsia="Calibri" w:hAnsi="Calibri" w:cs="Calibri"/>
                <w:color w:val="0000FF"/>
              </w:rPr>
            </w:pPr>
            <w:r w:rsidRPr="1719BFFE">
              <w:rPr>
                <w:rFonts w:ascii="Calibri" w:eastAsia="Calibri" w:hAnsi="Calibri" w:cs="Calibri"/>
                <w:color w:val="0000FF"/>
              </w:rPr>
              <w:t>Note: Discrepancies include omissions, duplications, contraindications, unclear information, and changes. A qualified individual, identified by the hospital, does the comparison.”</w:t>
            </w:r>
          </w:p>
        </w:tc>
      </w:tr>
      <w:tr w:rsidR="00A747F1" w14:paraId="03362BCD" w14:textId="77777777" w:rsidTr="00A13022">
        <w:tc>
          <w:tcPr>
            <w:tcW w:w="3325" w:type="dxa"/>
          </w:tcPr>
          <w:p w14:paraId="529DBB3B" w14:textId="77777777" w:rsidR="00A747F1" w:rsidRDefault="00A747F1" w:rsidP="002D4591">
            <w:pPr>
              <w:ind w:left="0" w:firstLine="0"/>
            </w:pPr>
            <w:r>
              <w:t xml:space="preserve">Grade assigned to the </w:t>
            </w:r>
            <w:r w:rsidRPr="1719BFFE">
              <w:rPr>
                <w:b/>
                <w:bCs/>
              </w:rPr>
              <w:t>evidence</w:t>
            </w:r>
            <w:r>
              <w:t xml:space="preserve"> associated with the recommendation with the definition of the grade</w:t>
            </w:r>
          </w:p>
        </w:tc>
        <w:tc>
          <w:tcPr>
            <w:tcW w:w="5940" w:type="dxa"/>
          </w:tcPr>
          <w:p w14:paraId="0824B4BB" w14:textId="77777777" w:rsidR="00A747F1" w:rsidRPr="00CC2FF4" w:rsidRDefault="00A747F1" w:rsidP="002D4591">
            <w:pPr>
              <w:ind w:left="0" w:firstLine="0"/>
              <w:rPr>
                <w:color w:val="0000FF"/>
              </w:rPr>
            </w:pPr>
            <w:r w:rsidRPr="1719BFFE">
              <w:rPr>
                <w:color w:val="0000FF"/>
              </w:rPr>
              <w:t>None identified</w:t>
            </w:r>
          </w:p>
        </w:tc>
      </w:tr>
      <w:tr w:rsidR="00A747F1" w14:paraId="4FFD1496" w14:textId="77777777" w:rsidTr="00A13022">
        <w:tc>
          <w:tcPr>
            <w:tcW w:w="3325" w:type="dxa"/>
          </w:tcPr>
          <w:p w14:paraId="503AFDFC" w14:textId="77777777" w:rsidR="00A747F1" w:rsidRDefault="00A747F1" w:rsidP="002D4591">
            <w:pPr>
              <w:ind w:left="0" w:firstLine="0"/>
            </w:pPr>
            <w:r>
              <w:t>Provide all other grades and definitions from the evidence grading system</w:t>
            </w:r>
          </w:p>
        </w:tc>
        <w:tc>
          <w:tcPr>
            <w:tcW w:w="5940" w:type="dxa"/>
          </w:tcPr>
          <w:p w14:paraId="022E9454" w14:textId="77777777" w:rsidR="00A747F1" w:rsidRPr="00CC2FF4" w:rsidRDefault="00A747F1" w:rsidP="002D4591">
            <w:pPr>
              <w:ind w:left="0" w:firstLine="0"/>
              <w:rPr>
                <w:color w:val="0000FF"/>
              </w:rPr>
            </w:pPr>
            <w:r w:rsidRPr="1719BFFE">
              <w:rPr>
                <w:color w:val="0000FF"/>
              </w:rPr>
              <w:t>Not applicable</w:t>
            </w:r>
          </w:p>
        </w:tc>
      </w:tr>
      <w:tr w:rsidR="00A747F1" w14:paraId="2F14FBB4" w14:textId="77777777" w:rsidTr="00A13022">
        <w:tc>
          <w:tcPr>
            <w:tcW w:w="3325" w:type="dxa"/>
          </w:tcPr>
          <w:p w14:paraId="3B0B8F91" w14:textId="77777777" w:rsidR="00A747F1" w:rsidRDefault="00A747F1" w:rsidP="002D4591">
            <w:pPr>
              <w:ind w:left="0" w:firstLine="0"/>
            </w:pPr>
            <w:r>
              <w:t xml:space="preserve">Grade assigned to the </w:t>
            </w:r>
            <w:r w:rsidRPr="1719BFFE">
              <w:rPr>
                <w:b/>
                <w:bCs/>
              </w:rPr>
              <w:t>recommendation</w:t>
            </w:r>
            <w:r>
              <w:t xml:space="preserve"> with definition of the grade</w:t>
            </w:r>
          </w:p>
        </w:tc>
        <w:tc>
          <w:tcPr>
            <w:tcW w:w="5940" w:type="dxa"/>
          </w:tcPr>
          <w:p w14:paraId="458F8CAF" w14:textId="77777777" w:rsidR="00A747F1" w:rsidRPr="00CC2FF4" w:rsidRDefault="00A747F1" w:rsidP="002D4591">
            <w:pPr>
              <w:ind w:left="0" w:firstLine="0"/>
              <w:rPr>
                <w:color w:val="0000FF"/>
              </w:rPr>
            </w:pPr>
            <w:r w:rsidRPr="1719BFFE">
              <w:rPr>
                <w:color w:val="0000FF"/>
              </w:rPr>
              <w:t>None identified</w:t>
            </w:r>
          </w:p>
        </w:tc>
      </w:tr>
      <w:tr w:rsidR="00A747F1" w14:paraId="05E219EE" w14:textId="77777777" w:rsidTr="00A13022">
        <w:trPr>
          <w:trHeight w:val="827"/>
        </w:trPr>
        <w:tc>
          <w:tcPr>
            <w:tcW w:w="3325" w:type="dxa"/>
          </w:tcPr>
          <w:p w14:paraId="5308F1F8" w14:textId="77777777" w:rsidR="00A747F1" w:rsidRDefault="00A747F1" w:rsidP="002D4591">
            <w:pPr>
              <w:ind w:left="0" w:firstLine="0"/>
            </w:pPr>
            <w:r>
              <w:t>Provide all other grades and definitions from the recommendation grading system</w:t>
            </w:r>
          </w:p>
        </w:tc>
        <w:tc>
          <w:tcPr>
            <w:tcW w:w="5940" w:type="dxa"/>
          </w:tcPr>
          <w:p w14:paraId="19379F2C" w14:textId="77777777" w:rsidR="00A747F1" w:rsidRPr="00CC2FF4" w:rsidRDefault="00A747F1" w:rsidP="002D4591">
            <w:pPr>
              <w:ind w:left="0" w:firstLine="0"/>
              <w:rPr>
                <w:color w:val="0000FF"/>
              </w:rPr>
            </w:pPr>
            <w:r w:rsidRPr="1719BFFE">
              <w:rPr>
                <w:color w:val="0000FF"/>
              </w:rPr>
              <w:t>Not applicable</w:t>
            </w:r>
          </w:p>
        </w:tc>
      </w:tr>
      <w:tr w:rsidR="00A747F1" w14:paraId="2C3B2D98" w14:textId="77777777" w:rsidTr="00A13022">
        <w:trPr>
          <w:trHeight w:val="260"/>
        </w:trPr>
        <w:tc>
          <w:tcPr>
            <w:tcW w:w="3325" w:type="dxa"/>
          </w:tcPr>
          <w:p w14:paraId="4E0962C0" w14:textId="77777777" w:rsidR="00A747F1" w:rsidRDefault="00A747F1" w:rsidP="002D4591">
            <w:pPr>
              <w:ind w:left="0" w:firstLine="0"/>
            </w:pPr>
            <w:r>
              <w:t>Body of evidence:</w:t>
            </w:r>
          </w:p>
          <w:p w14:paraId="591E4ECB" w14:textId="77777777" w:rsidR="00A747F1" w:rsidRDefault="00A747F1" w:rsidP="002D4591">
            <w:pPr>
              <w:pStyle w:val="ListParagraph"/>
              <w:numPr>
                <w:ilvl w:val="0"/>
                <w:numId w:val="10"/>
              </w:numPr>
            </w:pPr>
            <w:r>
              <w:t>Quantity – how many studies?</w:t>
            </w:r>
          </w:p>
          <w:p w14:paraId="7AC1A2ED" w14:textId="77777777" w:rsidR="00A747F1" w:rsidRDefault="00A747F1" w:rsidP="002D4591">
            <w:pPr>
              <w:pStyle w:val="ListParagraph"/>
              <w:numPr>
                <w:ilvl w:val="0"/>
                <w:numId w:val="10"/>
              </w:numPr>
            </w:pPr>
            <w:r>
              <w:t>Quality – what type of studies?</w:t>
            </w:r>
          </w:p>
        </w:tc>
        <w:tc>
          <w:tcPr>
            <w:tcW w:w="5940" w:type="dxa"/>
          </w:tcPr>
          <w:p w14:paraId="71944E7D" w14:textId="77777777" w:rsidR="00A747F1" w:rsidRPr="00CC2FF4" w:rsidRDefault="00A747F1" w:rsidP="002D4591">
            <w:pPr>
              <w:ind w:left="0" w:firstLine="0"/>
              <w:rPr>
                <w:color w:val="0000FF"/>
              </w:rPr>
            </w:pPr>
            <w:r w:rsidRPr="1719BFFE">
              <w:rPr>
                <w:color w:val="0000FF"/>
              </w:rPr>
              <w:t>From The Joint Commission: “A panel of widely recognized patient safety experts advise The Joint Commission on the development and updating of NPSGs. This panel, called the Patient Safety Advisory Group, is composed of nurses, physicians, pharmacists, risk managers, clinical engineers and other professionals who have hands-on experience in addressing patient safety issues in a wide variety of health care settings. The Patient Safety Advisory Group works with Joint Commission staff to identify emerging patient safety issues, and advises The Joint Commission on how to address those issues in NPSGs, Sentinel Event Alerts, standards and survey processes, performance measures, educational materials, and Center for Transforming Healthcare projects. Following a solicitation of input from practitioners, provider organizations, purchasers, consumer groups and other stakeholders, The Joint Commission determines the highest priority patient safety issues and how best to address them. The Joint Commission also determines whether a goal is applicable to a specific accreditation program and, if so, tailors the goal to be program-specific.”</w:t>
            </w:r>
          </w:p>
          <w:p w14:paraId="6193FCEE" w14:textId="77777777" w:rsidR="00A747F1" w:rsidRPr="00CC2FF4" w:rsidRDefault="00A747F1" w:rsidP="002D4591">
            <w:pPr>
              <w:ind w:left="0" w:firstLine="0"/>
              <w:rPr>
                <w:color w:val="0000FF"/>
              </w:rPr>
            </w:pPr>
          </w:p>
          <w:p w14:paraId="055B297B" w14:textId="77777777" w:rsidR="00A747F1" w:rsidRPr="00CC2FF4" w:rsidRDefault="00A747F1" w:rsidP="002D4591">
            <w:pPr>
              <w:ind w:left="0" w:firstLine="0"/>
              <w:rPr>
                <w:color w:val="0000FF"/>
              </w:rPr>
            </w:pPr>
            <w:r w:rsidRPr="1719BFFE">
              <w:rPr>
                <w:color w:val="0000FF"/>
              </w:rPr>
              <w:t>Citation</w:t>
            </w:r>
          </w:p>
          <w:p w14:paraId="15530032" w14:textId="77777777" w:rsidR="00A747F1" w:rsidRPr="00CC2FF4" w:rsidRDefault="00A747F1" w:rsidP="002D4591">
            <w:pPr>
              <w:ind w:left="0" w:firstLine="0"/>
              <w:rPr>
                <w:color w:val="0000FF"/>
              </w:rPr>
            </w:pPr>
            <w:r w:rsidRPr="1719BFFE">
              <w:rPr>
                <w:color w:val="0000FF"/>
              </w:rPr>
              <w:t>*The Joint Commission. Topic library item. Facts about the National Patient Safety Goals. Development of the Goals. (December 2, 2015). Retrieved November 23, 2016 from https://www.jointcommission.org/facts_about_the_national_patient_safety_goals/</w:t>
            </w:r>
          </w:p>
        </w:tc>
      </w:tr>
      <w:tr w:rsidR="00A747F1" w14:paraId="5A3068ED" w14:textId="77777777" w:rsidTr="00A13022">
        <w:tc>
          <w:tcPr>
            <w:tcW w:w="3325" w:type="dxa"/>
          </w:tcPr>
          <w:p w14:paraId="7550F93B" w14:textId="77777777" w:rsidR="00A747F1" w:rsidRDefault="00A747F1" w:rsidP="002D4591">
            <w:pPr>
              <w:ind w:left="0" w:firstLine="0"/>
            </w:pPr>
            <w:r>
              <w:t xml:space="preserve">Estimates of benefit and consistency across studies </w:t>
            </w:r>
          </w:p>
        </w:tc>
        <w:tc>
          <w:tcPr>
            <w:tcW w:w="5940" w:type="dxa"/>
          </w:tcPr>
          <w:p w14:paraId="3E76448B" w14:textId="77777777" w:rsidR="00A747F1" w:rsidRPr="00CC2FF4" w:rsidRDefault="00A747F1" w:rsidP="002D4591">
            <w:pPr>
              <w:ind w:left="0" w:firstLine="0"/>
              <w:rPr>
                <w:color w:val="0000FF"/>
              </w:rPr>
            </w:pPr>
            <w:r w:rsidRPr="1719BFFE">
              <w:rPr>
                <w:color w:val="0000FF"/>
              </w:rPr>
              <w:t>Not applicable</w:t>
            </w:r>
          </w:p>
        </w:tc>
      </w:tr>
      <w:tr w:rsidR="00A747F1" w14:paraId="1D0FE920" w14:textId="77777777" w:rsidTr="00A13022">
        <w:tc>
          <w:tcPr>
            <w:tcW w:w="3325" w:type="dxa"/>
          </w:tcPr>
          <w:p w14:paraId="0E364389" w14:textId="77777777" w:rsidR="00A747F1" w:rsidRDefault="00A747F1" w:rsidP="002D4591">
            <w:pPr>
              <w:ind w:left="0" w:firstLine="0"/>
            </w:pPr>
            <w:r>
              <w:t>What harms were identified?</w:t>
            </w:r>
          </w:p>
        </w:tc>
        <w:tc>
          <w:tcPr>
            <w:tcW w:w="5940" w:type="dxa"/>
          </w:tcPr>
          <w:p w14:paraId="52C9A6C6" w14:textId="77777777" w:rsidR="00A747F1" w:rsidRPr="00CC2FF4" w:rsidRDefault="00A747F1" w:rsidP="002D4591">
            <w:pPr>
              <w:ind w:left="0" w:firstLine="0"/>
              <w:rPr>
                <w:color w:val="0000FF"/>
              </w:rPr>
            </w:pPr>
            <w:r w:rsidRPr="1719BFFE">
              <w:rPr>
                <w:color w:val="0000FF"/>
              </w:rPr>
              <w:t>Not applicable</w:t>
            </w:r>
          </w:p>
        </w:tc>
      </w:tr>
      <w:tr w:rsidR="00A747F1" w14:paraId="3842903D" w14:textId="77777777" w:rsidTr="00A13022">
        <w:tc>
          <w:tcPr>
            <w:tcW w:w="3325" w:type="dxa"/>
          </w:tcPr>
          <w:p w14:paraId="066F3962" w14:textId="77777777" w:rsidR="00A747F1" w:rsidRDefault="00A747F1" w:rsidP="002D4591">
            <w:pPr>
              <w:ind w:left="0" w:firstLine="0"/>
            </w:pPr>
            <w:r>
              <w:t>Identify any new studies conducted since the SR. Do the new studies change the conclusions from the SR?</w:t>
            </w:r>
          </w:p>
        </w:tc>
        <w:tc>
          <w:tcPr>
            <w:tcW w:w="5940" w:type="dxa"/>
          </w:tcPr>
          <w:p w14:paraId="73F92663" w14:textId="77777777" w:rsidR="00A747F1" w:rsidRPr="00CC2FF4" w:rsidRDefault="00A747F1" w:rsidP="002D4591">
            <w:pPr>
              <w:ind w:left="0" w:firstLine="0"/>
              <w:rPr>
                <w:color w:val="0000FF"/>
              </w:rPr>
            </w:pPr>
            <w:r w:rsidRPr="1719BFFE">
              <w:rPr>
                <w:color w:val="0000FF"/>
              </w:rPr>
              <w:t>Not applicable</w:t>
            </w:r>
          </w:p>
        </w:tc>
      </w:tr>
    </w:tbl>
    <w:p w14:paraId="4B05132D" w14:textId="77777777" w:rsidR="00A747F1" w:rsidRPr="003B1CC5" w:rsidRDefault="00A747F1"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318BD053" w:rsidR="00837121" w:rsidRPr="00A747F1" w:rsidRDefault="00A747F1" w:rsidP="002E2177">
      <w:pPr>
        <w:ind w:left="0" w:firstLine="0"/>
        <w:rPr>
          <w:color w:val="0000FF"/>
        </w:rPr>
      </w:pPr>
      <w:r w:rsidRPr="00A747F1">
        <w:rPr>
          <w:color w:val="0000FF"/>
        </w:rPr>
        <w:t>Not applicable</w:t>
      </w:r>
    </w:p>
    <w:p w14:paraId="173BD5D6" w14:textId="77777777" w:rsidR="00A747F1" w:rsidRPr="003B1CC5" w:rsidRDefault="00A747F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9FB1C80" w14:textId="77777777" w:rsidR="00A747F1" w:rsidRDefault="00A747F1" w:rsidP="002E2177">
      <w:pPr>
        <w:ind w:left="0" w:firstLine="0"/>
        <w:rPr>
          <w:b/>
        </w:rPr>
      </w:pPr>
    </w:p>
    <w:p w14:paraId="55B8DA9B" w14:textId="77777777" w:rsidR="00837121" w:rsidRPr="003B1CC5" w:rsidRDefault="000E5C93" w:rsidP="002E2177">
      <w:pPr>
        <w:ind w:left="0" w:firstLine="0"/>
      </w:pPr>
      <w:r w:rsidRPr="00A747F1">
        <w:rPr>
          <w:b/>
          <w:color w:val="0000FF"/>
        </w:rPr>
        <w:t>1a.4.2</w:t>
      </w:r>
      <w:r w:rsidRPr="000E5C93">
        <w:rPr>
          <w:b/>
          <w:color w:val="244061" w:themeColor="accent1" w:themeShade="80"/>
        </w:rPr>
        <w:t xml:space="preserve">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4A6EA606"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1E40B2D" w14:textId="77777777" w:rsidR="00A747F1" w:rsidRPr="001B772D" w:rsidRDefault="00A747F1" w:rsidP="002E2177">
      <w:pPr>
        <w:ind w:left="0" w:firstLine="0"/>
      </w:pPr>
    </w:p>
    <w:sectPr w:rsidR="00A747F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CF4FC" w14:textId="77777777" w:rsidR="002524D3" w:rsidRDefault="002524D3" w:rsidP="007E37A5">
      <w:r>
        <w:separator/>
      </w:r>
    </w:p>
  </w:endnote>
  <w:endnote w:type="continuationSeparator" w:id="0">
    <w:p w14:paraId="0AF49DC9" w14:textId="77777777" w:rsidR="002524D3" w:rsidRDefault="002524D3" w:rsidP="007E37A5">
      <w:r>
        <w:continuationSeparator/>
      </w:r>
    </w:p>
  </w:endnote>
  <w:endnote w:type="continuationNotice" w:id="1">
    <w:p w14:paraId="2B847548" w14:textId="77777777" w:rsidR="002524D3" w:rsidRDefault="00252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alibri"/>
    <w:panose1 w:val="02040503050203030202"/>
    <w:charset w:val="00"/>
    <w:family w:val="auto"/>
    <w:pitch w:val="variable"/>
    <w:sig w:usb0="00008003" w:usb1="00000000" w:usb2="00000000" w:usb3="00000000" w:csb0="00000001" w:csb1="00000000"/>
  </w:font>
  <w:font w:name="Helvetica">
    <w:panose1 w:val="020B0604020202020204"/>
    <w:charset w:val="00"/>
    <w:family w:val="swiss"/>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43F4FE62" w:rsidR="002524D3" w:rsidRDefault="002524D3">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04AD0">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CA037" w14:textId="77777777" w:rsidR="002524D3" w:rsidRDefault="002524D3" w:rsidP="007E37A5">
      <w:r>
        <w:separator/>
      </w:r>
    </w:p>
  </w:footnote>
  <w:footnote w:type="continuationSeparator" w:id="0">
    <w:p w14:paraId="688877B6" w14:textId="77777777" w:rsidR="002524D3" w:rsidRDefault="002524D3" w:rsidP="007E37A5">
      <w:r>
        <w:continuationSeparator/>
      </w:r>
    </w:p>
  </w:footnote>
  <w:footnote w:type="continuationNotice" w:id="1">
    <w:p w14:paraId="0C9DF54E" w14:textId="77777777" w:rsidR="002524D3" w:rsidRDefault="00252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2524D3" w:rsidRDefault="002524D3"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5650"/>
    <w:multiLevelType w:val="hybridMultilevel"/>
    <w:tmpl w:val="F8349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B345E"/>
    <w:multiLevelType w:val="hybridMultilevel"/>
    <w:tmpl w:val="6C7A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B278A"/>
    <w:multiLevelType w:val="hybridMultilevel"/>
    <w:tmpl w:val="288606D2"/>
    <w:lvl w:ilvl="0" w:tplc="25C07EB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40F78"/>
    <w:multiLevelType w:val="hybridMultilevel"/>
    <w:tmpl w:val="C3FAF142"/>
    <w:lvl w:ilvl="0" w:tplc="2C60B654">
      <w:start w:val="1"/>
      <w:numFmt w:val="bullet"/>
      <w:lvlText w:val=""/>
      <w:lvlJc w:val="left"/>
      <w:pPr>
        <w:ind w:left="1350" w:hanging="360"/>
      </w:pPr>
      <w:rPr>
        <w:rFonts w:ascii="Symbol" w:hAnsi="Symbol" w:hint="default"/>
        <w:color w:val="0000FF"/>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96CCBD2A"/>
    <w:lvl w:ilvl="0" w:tplc="2C60B654">
      <w:start w:val="1"/>
      <w:numFmt w:val="bullet"/>
      <w:lvlText w:val=""/>
      <w:lvlJc w:val="left"/>
      <w:pPr>
        <w:tabs>
          <w:tab w:val="num" w:pos="216"/>
        </w:tabs>
        <w:ind w:left="216" w:hanging="216"/>
      </w:pPr>
      <w:rPr>
        <w:rFonts w:ascii="Symbol" w:hAnsi="Symbol" w:hint="default"/>
        <w:color w:val="0000FF"/>
      </w:rPr>
    </w:lvl>
    <w:lvl w:ilvl="1" w:tplc="04090001">
      <w:start w:val="1"/>
      <w:numFmt w:val="bullet"/>
      <w:lvlText w:val=""/>
      <w:lvlJc w:val="left"/>
      <w:pPr>
        <w:tabs>
          <w:tab w:val="num" w:pos="1440"/>
        </w:tabs>
        <w:ind w:left="1440" w:hanging="360"/>
      </w:pPr>
      <w:rPr>
        <w:rFonts w:ascii="Symbol" w:hAnsi="Symbol" w:hint="default"/>
      </w:rPr>
    </w:lvl>
    <w:lvl w:ilvl="2" w:tplc="D2D60CF4">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E945F1"/>
    <w:multiLevelType w:val="hybridMultilevel"/>
    <w:tmpl w:val="FDAC7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8"/>
  </w:num>
  <w:num w:numId="6">
    <w:abstractNumId w:val="7"/>
  </w:num>
  <w:num w:numId="7">
    <w:abstractNumId w:val="13"/>
  </w:num>
  <w:num w:numId="8">
    <w:abstractNumId w:val="12"/>
  </w:num>
  <w:num w:numId="9">
    <w:abstractNumId w:val="15"/>
  </w:num>
  <w:num w:numId="10">
    <w:abstractNumId w:val="3"/>
  </w:num>
  <w:num w:numId="11">
    <w:abstractNumId w:val="10"/>
  </w:num>
  <w:num w:numId="12">
    <w:abstractNumId w:val="1"/>
  </w:num>
  <w:num w:numId="13">
    <w:abstractNumId w:val="6"/>
  </w:num>
  <w:num w:numId="14">
    <w:abstractNumId w:val="1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61D5"/>
    <w:rsid w:val="00010ADF"/>
    <w:rsid w:val="00015986"/>
    <w:rsid w:val="000160E6"/>
    <w:rsid w:val="00023B65"/>
    <w:rsid w:val="00024526"/>
    <w:rsid w:val="00030F43"/>
    <w:rsid w:val="00040DCF"/>
    <w:rsid w:val="00052C0B"/>
    <w:rsid w:val="00061CF3"/>
    <w:rsid w:val="00063601"/>
    <w:rsid w:val="00064188"/>
    <w:rsid w:val="00073079"/>
    <w:rsid w:val="0007593F"/>
    <w:rsid w:val="000807F2"/>
    <w:rsid w:val="00095EC9"/>
    <w:rsid w:val="00096A37"/>
    <w:rsid w:val="000A0810"/>
    <w:rsid w:val="000B1432"/>
    <w:rsid w:val="000B1A2F"/>
    <w:rsid w:val="000B4AC0"/>
    <w:rsid w:val="000B627F"/>
    <w:rsid w:val="000C5BF8"/>
    <w:rsid w:val="000D649E"/>
    <w:rsid w:val="000D6D06"/>
    <w:rsid w:val="000E5C93"/>
    <w:rsid w:val="000F4A7F"/>
    <w:rsid w:val="00114848"/>
    <w:rsid w:val="00120934"/>
    <w:rsid w:val="00132070"/>
    <w:rsid w:val="00141875"/>
    <w:rsid w:val="0014347E"/>
    <w:rsid w:val="001455EE"/>
    <w:rsid w:val="00154438"/>
    <w:rsid w:val="001551F6"/>
    <w:rsid w:val="0015535B"/>
    <w:rsid w:val="00162036"/>
    <w:rsid w:val="001632DD"/>
    <w:rsid w:val="00176E60"/>
    <w:rsid w:val="00183015"/>
    <w:rsid w:val="00194913"/>
    <w:rsid w:val="00194D9A"/>
    <w:rsid w:val="001A196B"/>
    <w:rsid w:val="001A6D05"/>
    <w:rsid w:val="001B38BF"/>
    <w:rsid w:val="001B772D"/>
    <w:rsid w:val="001B7CDD"/>
    <w:rsid w:val="001D0E7E"/>
    <w:rsid w:val="001D5B5D"/>
    <w:rsid w:val="001E6153"/>
    <w:rsid w:val="00201FF9"/>
    <w:rsid w:val="00205857"/>
    <w:rsid w:val="00235ADC"/>
    <w:rsid w:val="00236F87"/>
    <w:rsid w:val="00245562"/>
    <w:rsid w:val="00247768"/>
    <w:rsid w:val="002524D3"/>
    <w:rsid w:val="00265702"/>
    <w:rsid w:val="002662B2"/>
    <w:rsid w:val="002717C7"/>
    <w:rsid w:val="00273201"/>
    <w:rsid w:val="002875E9"/>
    <w:rsid w:val="00287EB3"/>
    <w:rsid w:val="002A47BA"/>
    <w:rsid w:val="002A6777"/>
    <w:rsid w:val="002B06BD"/>
    <w:rsid w:val="002C0E48"/>
    <w:rsid w:val="002C6F04"/>
    <w:rsid w:val="002D4591"/>
    <w:rsid w:val="002E2177"/>
    <w:rsid w:val="002E2E41"/>
    <w:rsid w:val="002E78CD"/>
    <w:rsid w:val="002F20A7"/>
    <w:rsid w:val="003008F4"/>
    <w:rsid w:val="00302B1D"/>
    <w:rsid w:val="00307FA5"/>
    <w:rsid w:val="0032396A"/>
    <w:rsid w:val="00324D64"/>
    <w:rsid w:val="00342361"/>
    <w:rsid w:val="00352B52"/>
    <w:rsid w:val="0035760D"/>
    <w:rsid w:val="00363764"/>
    <w:rsid w:val="00363ECC"/>
    <w:rsid w:val="00376FE8"/>
    <w:rsid w:val="0039020B"/>
    <w:rsid w:val="00395263"/>
    <w:rsid w:val="003956E0"/>
    <w:rsid w:val="0039609A"/>
    <w:rsid w:val="00397500"/>
    <w:rsid w:val="003A0A29"/>
    <w:rsid w:val="003B1CC5"/>
    <w:rsid w:val="003B65CE"/>
    <w:rsid w:val="003C6B78"/>
    <w:rsid w:val="003D1AC6"/>
    <w:rsid w:val="003D4CC4"/>
    <w:rsid w:val="003D6721"/>
    <w:rsid w:val="003E039E"/>
    <w:rsid w:val="003E6B1B"/>
    <w:rsid w:val="0040230E"/>
    <w:rsid w:val="0041662F"/>
    <w:rsid w:val="00422917"/>
    <w:rsid w:val="00440687"/>
    <w:rsid w:val="0044131D"/>
    <w:rsid w:val="00441ADA"/>
    <w:rsid w:val="004435C0"/>
    <w:rsid w:val="00457E46"/>
    <w:rsid w:val="00472414"/>
    <w:rsid w:val="004922E4"/>
    <w:rsid w:val="00496AF8"/>
    <w:rsid w:val="004A575D"/>
    <w:rsid w:val="004B65C6"/>
    <w:rsid w:val="004D1DC7"/>
    <w:rsid w:val="004E7215"/>
    <w:rsid w:val="004F7D7E"/>
    <w:rsid w:val="004F7E25"/>
    <w:rsid w:val="00500B0C"/>
    <w:rsid w:val="00515ECB"/>
    <w:rsid w:val="00537150"/>
    <w:rsid w:val="00540984"/>
    <w:rsid w:val="00543851"/>
    <w:rsid w:val="0055559D"/>
    <w:rsid w:val="005569AE"/>
    <w:rsid w:val="00582D6B"/>
    <w:rsid w:val="005857F8"/>
    <w:rsid w:val="005949F2"/>
    <w:rsid w:val="005B0D18"/>
    <w:rsid w:val="005B12C3"/>
    <w:rsid w:val="005B409D"/>
    <w:rsid w:val="005C2CFB"/>
    <w:rsid w:val="005D0FDB"/>
    <w:rsid w:val="005D25E9"/>
    <w:rsid w:val="005D53D6"/>
    <w:rsid w:val="005D6D59"/>
    <w:rsid w:val="005E13F5"/>
    <w:rsid w:val="005E262B"/>
    <w:rsid w:val="00601B98"/>
    <w:rsid w:val="00601C78"/>
    <w:rsid w:val="0061327A"/>
    <w:rsid w:val="00617390"/>
    <w:rsid w:val="00623420"/>
    <w:rsid w:val="006311D3"/>
    <w:rsid w:val="00634768"/>
    <w:rsid w:val="0063596F"/>
    <w:rsid w:val="006709EB"/>
    <w:rsid w:val="00672824"/>
    <w:rsid w:val="00676BD4"/>
    <w:rsid w:val="0068184A"/>
    <w:rsid w:val="00697701"/>
    <w:rsid w:val="006A0249"/>
    <w:rsid w:val="006B3AF9"/>
    <w:rsid w:val="006B5C51"/>
    <w:rsid w:val="006B5DAE"/>
    <w:rsid w:val="006C7F30"/>
    <w:rsid w:val="006D43FF"/>
    <w:rsid w:val="006E6FDD"/>
    <w:rsid w:val="006F4B7F"/>
    <w:rsid w:val="006F760B"/>
    <w:rsid w:val="00701CC3"/>
    <w:rsid w:val="00724801"/>
    <w:rsid w:val="00734949"/>
    <w:rsid w:val="00736AEC"/>
    <w:rsid w:val="00736E0F"/>
    <w:rsid w:val="00740B0E"/>
    <w:rsid w:val="007434FA"/>
    <w:rsid w:val="00752ABD"/>
    <w:rsid w:val="00756F9A"/>
    <w:rsid w:val="007573F0"/>
    <w:rsid w:val="00762BB1"/>
    <w:rsid w:val="00765156"/>
    <w:rsid w:val="00767669"/>
    <w:rsid w:val="00772330"/>
    <w:rsid w:val="00773485"/>
    <w:rsid w:val="00776E8F"/>
    <w:rsid w:val="00776F6D"/>
    <w:rsid w:val="007922D7"/>
    <w:rsid w:val="00794EC2"/>
    <w:rsid w:val="007B6435"/>
    <w:rsid w:val="007C0297"/>
    <w:rsid w:val="007C1887"/>
    <w:rsid w:val="007D4775"/>
    <w:rsid w:val="007D5DC6"/>
    <w:rsid w:val="007E37A5"/>
    <w:rsid w:val="007E7D96"/>
    <w:rsid w:val="007F49D8"/>
    <w:rsid w:val="00805940"/>
    <w:rsid w:val="0081599C"/>
    <w:rsid w:val="00817119"/>
    <w:rsid w:val="00835EDE"/>
    <w:rsid w:val="00837121"/>
    <w:rsid w:val="008400BD"/>
    <w:rsid w:val="00844C14"/>
    <w:rsid w:val="008471E5"/>
    <w:rsid w:val="00850C35"/>
    <w:rsid w:val="00851466"/>
    <w:rsid w:val="00863E43"/>
    <w:rsid w:val="008647C3"/>
    <w:rsid w:val="008659ED"/>
    <w:rsid w:val="008661C7"/>
    <w:rsid w:val="008708DC"/>
    <w:rsid w:val="00870987"/>
    <w:rsid w:val="0087564A"/>
    <w:rsid w:val="00881160"/>
    <w:rsid w:val="0088371C"/>
    <w:rsid w:val="00886B16"/>
    <w:rsid w:val="008877D7"/>
    <w:rsid w:val="00894491"/>
    <w:rsid w:val="008A45F3"/>
    <w:rsid w:val="008A5AA3"/>
    <w:rsid w:val="008B51D9"/>
    <w:rsid w:val="008B652E"/>
    <w:rsid w:val="008D05B7"/>
    <w:rsid w:val="008D25F8"/>
    <w:rsid w:val="008F1DC6"/>
    <w:rsid w:val="008F6F51"/>
    <w:rsid w:val="008F77E8"/>
    <w:rsid w:val="00905C5B"/>
    <w:rsid w:val="009065F9"/>
    <w:rsid w:val="00923295"/>
    <w:rsid w:val="0092589F"/>
    <w:rsid w:val="00925F11"/>
    <w:rsid w:val="00935265"/>
    <w:rsid w:val="0094689F"/>
    <w:rsid w:val="00947484"/>
    <w:rsid w:val="009477D6"/>
    <w:rsid w:val="00953ED3"/>
    <w:rsid w:val="00965FF6"/>
    <w:rsid w:val="009846D6"/>
    <w:rsid w:val="0098657F"/>
    <w:rsid w:val="00992086"/>
    <w:rsid w:val="009A04E3"/>
    <w:rsid w:val="009A3236"/>
    <w:rsid w:val="009B30DC"/>
    <w:rsid w:val="009B5A93"/>
    <w:rsid w:val="009B5BEA"/>
    <w:rsid w:val="009C291F"/>
    <w:rsid w:val="009E37BD"/>
    <w:rsid w:val="009E6B86"/>
    <w:rsid w:val="009F2A14"/>
    <w:rsid w:val="009F437B"/>
    <w:rsid w:val="00A03301"/>
    <w:rsid w:val="00A04AD0"/>
    <w:rsid w:val="00A12762"/>
    <w:rsid w:val="00A13022"/>
    <w:rsid w:val="00A13867"/>
    <w:rsid w:val="00A13931"/>
    <w:rsid w:val="00A25158"/>
    <w:rsid w:val="00A26FED"/>
    <w:rsid w:val="00A421D4"/>
    <w:rsid w:val="00A44FF0"/>
    <w:rsid w:val="00A50E55"/>
    <w:rsid w:val="00A66501"/>
    <w:rsid w:val="00A67EB1"/>
    <w:rsid w:val="00A747F1"/>
    <w:rsid w:val="00A9011D"/>
    <w:rsid w:val="00A91A47"/>
    <w:rsid w:val="00A95D2B"/>
    <w:rsid w:val="00AA5587"/>
    <w:rsid w:val="00AB4ECE"/>
    <w:rsid w:val="00AC1E53"/>
    <w:rsid w:val="00AD79C8"/>
    <w:rsid w:val="00AE6CE0"/>
    <w:rsid w:val="00B058A6"/>
    <w:rsid w:val="00B117D0"/>
    <w:rsid w:val="00B12309"/>
    <w:rsid w:val="00B13998"/>
    <w:rsid w:val="00B34C03"/>
    <w:rsid w:val="00B35C5F"/>
    <w:rsid w:val="00B439DD"/>
    <w:rsid w:val="00B52E0F"/>
    <w:rsid w:val="00B732A2"/>
    <w:rsid w:val="00B74629"/>
    <w:rsid w:val="00B91F58"/>
    <w:rsid w:val="00BA579E"/>
    <w:rsid w:val="00BC5D12"/>
    <w:rsid w:val="00BD1A01"/>
    <w:rsid w:val="00BE1C28"/>
    <w:rsid w:val="00BE2295"/>
    <w:rsid w:val="00BE6373"/>
    <w:rsid w:val="00BF533A"/>
    <w:rsid w:val="00C37CB5"/>
    <w:rsid w:val="00C41326"/>
    <w:rsid w:val="00C41794"/>
    <w:rsid w:val="00C44DF3"/>
    <w:rsid w:val="00C46677"/>
    <w:rsid w:val="00C5180E"/>
    <w:rsid w:val="00C54E40"/>
    <w:rsid w:val="00C55F56"/>
    <w:rsid w:val="00C57BA4"/>
    <w:rsid w:val="00C613EB"/>
    <w:rsid w:val="00C71C1A"/>
    <w:rsid w:val="00C84623"/>
    <w:rsid w:val="00CB06C9"/>
    <w:rsid w:val="00CB1E41"/>
    <w:rsid w:val="00CB271C"/>
    <w:rsid w:val="00CB58FC"/>
    <w:rsid w:val="00CC0F87"/>
    <w:rsid w:val="00CD0DE5"/>
    <w:rsid w:val="00CE4F96"/>
    <w:rsid w:val="00CF0AB1"/>
    <w:rsid w:val="00CF4B9B"/>
    <w:rsid w:val="00CF55E6"/>
    <w:rsid w:val="00CF772F"/>
    <w:rsid w:val="00D048DB"/>
    <w:rsid w:val="00D14F0B"/>
    <w:rsid w:val="00D1610C"/>
    <w:rsid w:val="00D176C6"/>
    <w:rsid w:val="00D178CA"/>
    <w:rsid w:val="00D3311C"/>
    <w:rsid w:val="00D53405"/>
    <w:rsid w:val="00D5457B"/>
    <w:rsid w:val="00D72995"/>
    <w:rsid w:val="00D73685"/>
    <w:rsid w:val="00D753EE"/>
    <w:rsid w:val="00DA7FA2"/>
    <w:rsid w:val="00DC2D8D"/>
    <w:rsid w:val="00DC7F67"/>
    <w:rsid w:val="00DE1F5D"/>
    <w:rsid w:val="00DE50D8"/>
    <w:rsid w:val="00DF278A"/>
    <w:rsid w:val="00DF3ED1"/>
    <w:rsid w:val="00E1664B"/>
    <w:rsid w:val="00E247F0"/>
    <w:rsid w:val="00E30D12"/>
    <w:rsid w:val="00E33736"/>
    <w:rsid w:val="00E3394E"/>
    <w:rsid w:val="00E35241"/>
    <w:rsid w:val="00E41417"/>
    <w:rsid w:val="00E42FAA"/>
    <w:rsid w:val="00E44CE9"/>
    <w:rsid w:val="00E536D3"/>
    <w:rsid w:val="00E57BE2"/>
    <w:rsid w:val="00E62A95"/>
    <w:rsid w:val="00E746A2"/>
    <w:rsid w:val="00E76C24"/>
    <w:rsid w:val="00E90D06"/>
    <w:rsid w:val="00E97E59"/>
    <w:rsid w:val="00EA79C9"/>
    <w:rsid w:val="00EB66AC"/>
    <w:rsid w:val="00EC1225"/>
    <w:rsid w:val="00EC2247"/>
    <w:rsid w:val="00EE1F87"/>
    <w:rsid w:val="00EE3931"/>
    <w:rsid w:val="00EE5AF6"/>
    <w:rsid w:val="00EF2CEF"/>
    <w:rsid w:val="00F1092D"/>
    <w:rsid w:val="00F32510"/>
    <w:rsid w:val="00F342DD"/>
    <w:rsid w:val="00F37EEE"/>
    <w:rsid w:val="00F42C20"/>
    <w:rsid w:val="00F431D8"/>
    <w:rsid w:val="00F61865"/>
    <w:rsid w:val="00F63E8D"/>
    <w:rsid w:val="00F67706"/>
    <w:rsid w:val="00F81FE3"/>
    <w:rsid w:val="00F90F82"/>
    <w:rsid w:val="00F92D75"/>
    <w:rsid w:val="00F97327"/>
    <w:rsid w:val="00FA296F"/>
    <w:rsid w:val="00FA7323"/>
    <w:rsid w:val="00FB1299"/>
    <w:rsid w:val="00FC32D3"/>
    <w:rsid w:val="00FC3B0A"/>
    <w:rsid w:val="00FD104D"/>
    <w:rsid w:val="00FD4D82"/>
    <w:rsid w:val="00FE57AE"/>
    <w:rsid w:val="00FF7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NormalWeb">
    <w:name w:val="Normal (Web)"/>
    <w:basedOn w:val="Normal"/>
    <w:uiPriority w:val="99"/>
    <w:unhideWhenUsed/>
    <w:rsid w:val="00064188"/>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EndNoteBibliography">
    <w:name w:val="EndNote Bibliography"/>
    <w:basedOn w:val="Normal"/>
    <w:link w:val="EndNoteBibliographyChar"/>
    <w:rsid w:val="005E262B"/>
    <w:pPr>
      <w:spacing w:after="120"/>
      <w:ind w:left="0" w:firstLine="0"/>
    </w:pPr>
    <w:rPr>
      <w:rFonts w:ascii="Times New Roman" w:eastAsia="SimSun" w:hAnsi="Times New Roman" w:cs="Times New Roman"/>
    </w:rPr>
  </w:style>
  <w:style w:type="character" w:customStyle="1" w:styleId="EndNoteBibliographyChar">
    <w:name w:val="EndNote Bibliography Char"/>
    <w:basedOn w:val="DefaultParagraphFont"/>
    <w:link w:val="EndNoteBibliography"/>
    <w:rsid w:val="005E262B"/>
    <w:rPr>
      <w:rFonts w:ascii="Times New Roman" w:eastAsia="SimSun" w:hAnsi="Times New Roman" w:cs="Times New Roman"/>
    </w:rPr>
  </w:style>
  <w:style w:type="character" w:styleId="Emphasis">
    <w:name w:val="Emphasis"/>
    <w:basedOn w:val="DefaultParagraphFont"/>
    <w:uiPriority w:val="20"/>
    <w:qFormat/>
    <w:rsid w:val="00C413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602813">
      <w:bodyDiv w:val="1"/>
      <w:marLeft w:val="0"/>
      <w:marRight w:val="0"/>
      <w:marTop w:val="0"/>
      <w:marBottom w:val="0"/>
      <w:divBdr>
        <w:top w:val="none" w:sz="0" w:space="0" w:color="auto"/>
        <w:left w:val="none" w:sz="0" w:space="0" w:color="auto"/>
        <w:bottom w:val="none" w:sz="0" w:space="0" w:color="auto"/>
        <w:right w:val="none" w:sz="0" w:space="0" w:color="auto"/>
      </w:divBdr>
    </w:div>
    <w:div w:id="1539320914">
      <w:bodyDiv w:val="1"/>
      <w:marLeft w:val="0"/>
      <w:marRight w:val="0"/>
      <w:marTop w:val="0"/>
      <w:marBottom w:val="0"/>
      <w:divBdr>
        <w:top w:val="none" w:sz="0" w:space="0" w:color="auto"/>
        <w:left w:val="none" w:sz="0" w:space="0" w:color="auto"/>
        <w:bottom w:val="none" w:sz="0" w:space="0" w:color="auto"/>
        <w:right w:val="none" w:sz="0" w:space="0" w:color="auto"/>
      </w:divBdr>
    </w:div>
    <w:div w:id="197220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alibri"/>
    <w:panose1 w:val="02040503050203030202"/>
    <w:charset w:val="00"/>
    <w:family w:val="auto"/>
    <w:pitch w:val="variable"/>
    <w:sig w:usb0="00008003" w:usb1="00000000" w:usb2="00000000" w:usb3="00000000" w:csb0="00000001" w:csb1="00000000"/>
  </w:font>
  <w:font w:name="Helvetica">
    <w:panose1 w:val="020B0604020202020204"/>
    <w:charset w:val="00"/>
    <w:family w:val="swiss"/>
    <w:pitch w:val="variable"/>
    <w:sig w:usb0="E00002FF" w:usb1="5000785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67005A"/>
    <w:rsid w:val="006C43A3"/>
    <w:rsid w:val="008F6A9B"/>
    <w:rsid w:val="00A77B15"/>
    <w:rsid w:val="00BE0F2D"/>
    <w:rsid w:val="00C03643"/>
    <w:rsid w:val="00C2797F"/>
    <w:rsid w:val="00C80225"/>
    <w:rsid w:val="00D228C9"/>
    <w:rsid w:val="00D2552B"/>
    <w:rsid w:val="00D75B64"/>
    <w:rsid w:val="00DB5324"/>
    <w:rsid w:val="00E97654"/>
    <w:rsid w:val="00EA555A"/>
    <w:rsid w:val="00EE4829"/>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31963FBE758646899199F287E4BBD7" ma:contentTypeVersion="12" ma:contentTypeDescription="Create a new document." ma:contentTypeScope="" ma:versionID="183afd8e12d9d258691304c979cc0e57">
  <xsd:schema xmlns:xsd="http://www.w3.org/2001/XMLSchema" xmlns:xs="http://www.w3.org/2001/XMLSchema" xmlns:p="http://schemas.microsoft.com/office/2006/metadata/properties" xmlns:ns1="http://schemas.microsoft.com/sharepoint/v3" xmlns:ns2="2ba5c0ca-a228-43d4-a925-bb0951669886" xmlns:ns3="efe1ab15-17a3-4d17-b8c7-5ce51cd7fe7c" targetNamespace="http://schemas.microsoft.com/office/2006/metadata/properties" ma:root="true" ma:fieldsID="80e7f358b278a8afd312967899faf3d9" ns1:_="" ns2:_="" ns3:_="">
    <xsd:import namespace="http://schemas.microsoft.com/sharepoint/v3"/>
    <xsd:import namespace="2ba5c0ca-a228-43d4-a925-bb0951669886"/>
    <xsd:import namespace="efe1ab15-17a3-4d17-b8c7-5ce51cd7fe7c"/>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1:_ip_UnifiedCompliancePolicyProperties" minOccurs="0"/>
                <xsd:element ref="ns1:_ip_UnifiedCompliancePolicyUIAction"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description="" ma:hidden="true" ma:internalName="_ip_UnifiedCompliancePolicyProperties">
      <xsd:simpleType>
        <xsd:restriction base="dms:Note"/>
      </xsd:simpleType>
    </xsd:element>
    <xsd:element name="_ip_UnifiedCompliancePolicyUIAction" ma:index="13"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a5c0ca-a228-43d4-a925-bb095166988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fe1ab15-17a3-4d17-b8c7-5ce51cd7fe7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openxmlformats.org/package/2006/metadata/core-properties"/>
    <ds:schemaRef ds:uri="http://purl.org/dc/elements/1.1/"/>
    <ds:schemaRef ds:uri="efe1ab15-17a3-4d17-b8c7-5ce51cd7fe7c"/>
    <ds:schemaRef ds:uri="2ba5c0ca-a228-43d4-a925-bb0951669886"/>
    <ds:schemaRef ds:uri="http://purl.org/dc/terms/"/>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54FFF83-A0C0-485D-B13E-7280645BA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a5c0ca-a228-43d4-a925-bb0951669886"/>
    <ds:schemaRef ds:uri="efe1ab15-17a3-4d17-b8c7-5ce51cd7fe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606A9590-B92B-4ECB-86FC-B5651A3A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4154</Words>
  <Characters>23679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Megan Keenan</cp:lastModifiedBy>
  <cp:revision>2</cp:revision>
  <cp:lastPrinted>2017-11-01T17:52:00Z</cp:lastPrinted>
  <dcterms:created xsi:type="dcterms:W3CDTF">2017-11-01T19:34:00Z</dcterms:created>
  <dcterms:modified xsi:type="dcterms:W3CDTF">2017-11-01T19:34:00Z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0x010100AE31963FBE758646899199F287E4BBD7</vt:lpwstr>
  </property>
</Properties>
</file>